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2AB" w:rsidRDefault="00266887">
      <w:pPr>
        <w:tabs>
          <w:tab w:val="left" w:pos="360"/>
        </w:tabs>
        <w:rPr>
          <w:b/>
          <w:sz w:val="22"/>
          <w:szCs w:val="22"/>
        </w:rPr>
      </w:pPr>
      <w:r>
        <w:rPr>
          <w:sz w:val="22"/>
          <w:szCs w:val="22"/>
        </w:rPr>
        <w:t xml:space="preserve"> </w:t>
      </w:r>
      <w:r w:rsidR="00F672AB">
        <w:rPr>
          <w:sz w:val="22"/>
          <w:szCs w:val="22"/>
        </w:rPr>
        <w:tab/>
      </w:r>
      <w:r w:rsidR="00F672AB">
        <w:rPr>
          <w:b/>
          <w:sz w:val="22"/>
          <w:szCs w:val="22"/>
        </w:rPr>
        <w:t>MENTIGA CORPORATION BERHAD</w:t>
      </w:r>
    </w:p>
    <w:p w:rsidR="00F672AB" w:rsidRDefault="00C369D1">
      <w:pPr>
        <w:tabs>
          <w:tab w:val="left" w:pos="360"/>
        </w:tabs>
        <w:rPr>
          <w:sz w:val="22"/>
          <w:szCs w:val="22"/>
        </w:rPr>
      </w:pPr>
      <w:r>
        <w:rPr>
          <w:sz w:val="22"/>
          <w:szCs w:val="22"/>
        </w:rPr>
        <w:tab/>
        <w:t>(Company N</w:t>
      </w:r>
      <w:r w:rsidR="00F672AB">
        <w:rPr>
          <w:sz w:val="22"/>
          <w:szCs w:val="22"/>
        </w:rPr>
        <w:t>o. 10289-K)</w:t>
      </w:r>
    </w:p>
    <w:p w:rsidR="00F672AB" w:rsidRDefault="00F672AB">
      <w:pPr>
        <w:tabs>
          <w:tab w:val="left" w:pos="360"/>
        </w:tabs>
        <w:rPr>
          <w:b/>
          <w:sz w:val="22"/>
          <w:szCs w:val="22"/>
        </w:rPr>
      </w:pPr>
      <w:r>
        <w:rPr>
          <w:sz w:val="22"/>
          <w:szCs w:val="22"/>
        </w:rPr>
        <w:tab/>
      </w:r>
      <w:r w:rsidR="00686D6A">
        <w:rPr>
          <w:b/>
          <w:sz w:val="22"/>
          <w:szCs w:val="22"/>
        </w:rPr>
        <w:t>Selected Explanatory Notes On Quarterly Financial Report</w:t>
      </w:r>
    </w:p>
    <w:p w:rsidR="00686D6A" w:rsidRDefault="00F93C88">
      <w:pPr>
        <w:tabs>
          <w:tab w:val="left" w:pos="360"/>
        </w:tabs>
        <w:rPr>
          <w:b/>
          <w:sz w:val="22"/>
          <w:szCs w:val="22"/>
        </w:rPr>
      </w:pPr>
      <w:r>
        <w:rPr>
          <w:b/>
          <w:sz w:val="22"/>
          <w:szCs w:val="22"/>
        </w:rPr>
        <w:tab/>
        <w:t xml:space="preserve">For </w:t>
      </w:r>
      <w:r w:rsidR="00CB66A3">
        <w:rPr>
          <w:b/>
          <w:sz w:val="22"/>
          <w:szCs w:val="22"/>
        </w:rPr>
        <w:t>F</w:t>
      </w:r>
      <w:r w:rsidR="005F3FAD">
        <w:rPr>
          <w:b/>
          <w:sz w:val="22"/>
          <w:szCs w:val="22"/>
        </w:rPr>
        <w:t>irst</w:t>
      </w:r>
      <w:r>
        <w:rPr>
          <w:b/>
          <w:sz w:val="22"/>
          <w:szCs w:val="22"/>
        </w:rPr>
        <w:t xml:space="preserve"> Quarter Ended 3</w:t>
      </w:r>
      <w:r w:rsidR="00CB66A3">
        <w:rPr>
          <w:b/>
          <w:sz w:val="22"/>
          <w:szCs w:val="22"/>
        </w:rPr>
        <w:t>1</w:t>
      </w:r>
      <w:r w:rsidR="00686D6A">
        <w:rPr>
          <w:b/>
          <w:sz w:val="22"/>
          <w:szCs w:val="22"/>
        </w:rPr>
        <w:t xml:space="preserve"> </w:t>
      </w:r>
      <w:r w:rsidR="005F3FAD">
        <w:rPr>
          <w:b/>
          <w:sz w:val="22"/>
          <w:szCs w:val="22"/>
        </w:rPr>
        <w:t>March</w:t>
      </w:r>
      <w:r w:rsidR="00AE03CF">
        <w:rPr>
          <w:b/>
          <w:sz w:val="22"/>
          <w:szCs w:val="22"/>
        </w:rPr>
        <w:t xml:space="preserve"> </w:t>
      </w:r>
      <w:r w:rsidR="00686D6A">
        <w:rPr>
          <w:b/>
          <w:sz w:val="22"/>
          <w:szCs w:val="22"/>
        </w:rPr>
        <w:t>20</w:t>
      </w:r>
      <w:r w:rsidR="005F3FAD">
        <w:rPr>
          <w:b/>
          <w:sz w:val="22"/>
          <w:szCs w:val="22"/>
        </w:rPr>
        <w:t>10</w:t>
      </w:r>
    </w:p>
    <w:p w:rsidR="00F672AB" w:rsidRDefault="00F672AB">
      <w:pPr>
        <w:tabs>
          <w:tab w:val="left" w:pos="360"/>
        </w:tabs>
        <w:rPr>
          <w:b/>
          <w:sz w:val="22"/>
          <w:szCs w:val="22"/>
        </w:rPr>
      </w:pPr>
      <w:r>
        <w:rPr>
          <w:b/>
          <w:sz w:val="22"/>
          <w:szCs w:val="22"/>
        </w:rPr>
        <w:t xml:space="preserve"> </w:t>
      </w:r>
    </w:p>
    <w:p w:rsidR="00F672AB" w:rsidRDefault="00F672AB">
      <w:pPr>
        <w:tabs>
          <w:tab w:val="left" w:pos="360"/>
        </w:tabs>
        <w:rPr>
          <w:b/>
          <w:sz w:val="22"/>
          <w:szCs w:val="22"/>
        </w:rPr>
      </w:pPr>
    </w:p>
    <w:p w:rsidR="00F672AB" w:rsidRPr="00B94461" w:rsidRDefault="00B94461">
      <w:pPr>
        <w:numPr>
          <w:ilvl w:val="0"/>
          <w:numId w:val="5"/>
        </w:numPr>
        <w:rPr>
          <w:b/>
          <w:sz w:val="22"/>
          <w:szCs w:val="22"/>
          <w:u w:val="single"/>
        </w:rPr>
      </w:pPr>
      <w:r w:rsidRPr="00B94461">
        <w:rPr>
          <w:b/>
          <w:sz w:val="22"/>
          <w:szCs w:val="22"/>
        </w:rPr>
        <w:t xml:space="preserve">  </w:t>
      </w:r>
      <w:r w:rsidR="00686D6A" w:rsidRPr="00B94461">
        <w:rPr>
          <w:b/>
          <w:sz w:val="22"/>
          <w:szCs w:val="22"/>
          <w:u w:val="single"/>
        </w:rPr>
        <w:t>Explanatory Notes Pursuant to FRS 134</w:t>
      </w:r>
    </w:p>
    <w:p w:rsidR="00F672AB" w:rsidRDefault="00F672AB">
      <w:pPr>
        <w:tabs>
          <w:tab w:val="left" w:pos="360"/>
        </w:tabs>
        <w:rPr>
          <w:b/>
          <w:sz w:val="22"/>
          <w:szCs w:val="22"/>
          <w:u w:val="single"/>
        </w:rPr>
      </w:pPr>
    </w:p>
    <w:p w:rsidR="00B77AFD" w:rsidRDefault="00B77AFD">
      <w:pPr>
        <w:tabs>
          <w:tab w:val="left" w:pos="360"/>
        </w:tabs>
        <w:rPr>
          <w:b/>
          <w:sz w:val="22"/>
          <w:szCs w:val="22"/>
          <w:u w:val="single"/>
        </w:rPr>
      </w:pPr>
    </w:p>
    <w:p w:rsidR="00F672AB" w:rsidRDefault="00F672AB">
      <w:pPr>
        <w:pStyle w:val="Heading2"/>
        <w:rPr>
          <w:sz w:val="22"/>
          <w:szCs w:val="22"/>
        </w:rPr>
      </w:pPr>
      <w:r>
        <w:rPr>
          <w:sz w:val="22"/>
          <w:szCs w:val="22"/>
        </w:rPr>
        <w:t xml:space="preserve">A1 </w:t>
      </w:r>
      <w:r w:rsidR="00B94461">
        <w:rPr>
          <w:sz w:val="22"/>
          <w:szCs w:val="22"/>
        </w:rPr>
        <w:t xml:space="preserve">    </w:t>
      </w:r>
      <w:r w:rsidR="00686D6A">
        <w:rPr>
          <w:sz w:val="22"/>
          <w:szCs w:val="22"/>
        </w:rPr>
        <w:t>Basis of Preparation</w:t>
      </w:r>
    </w:p>
    <w:p w:rsidR="00F672AB" w:rsidRDefault="00F672AB" w:rsidP="00B94461">
      <w:pPr>
        <w:pStyle w:val="BodyTextIndent"/>
        <w:ind w:left="540"/>
        <w:jc w:val="both"/>
        <w:rPr>
          <w:sz w:val="22"/>
          <w:szCs w:val="22"/>
        </w:rPr>
      </w:pPr>
      <w:r>
        <w:rPr>
          <w:sz w:val="22"/>
          <w:szCs w:val="22"/>
        </w:rPr>
        <w:t xml:space="preserve">The financial statements are unaudited and have been prepared in accordance with the requirements of </w:t>
      </w:r>
      <w:r w:rsidR="00686D6A">
        <w:rPr>
          <w:sz w:val="22"/>
          <w:szCs w:val="22"/>
        </w:rPr>
        <w:t>FRS 134</w:t>
      </w:r>
      <w:r>
        <w:rPr>
          <w:sz w:val="22"/>
          <w:szCs w:val="22"/>
        </w:rPr>
        <w:t>: Interim Financial Repor</w:t>
      </w:r>
      <w:r w:rsidR="002074A3">
        <w:rPr>
          <w:sz w:val="22"/>
          <w:szCs w:val="22"/>
        </w:rPr>
        <w:t>ting and paragraph 9.22 of the L</w:t>
      </w:r>
      <w:r>
        <w:rPr>
          <w:sz w:val="22"/>
          <w:szCs w:val="22"/>
        </w:rPr>
        <w:t>isting Requirements of Bursa Malaysia Securities Berhad.</w:t>
      </w:r>
    </w:p>
    <w:p w:rsidR="00F672AB" w:rsidRDefault="00F672AB">
      <w:pPr>
        <w:tabs>
          <w:tab w:val="left" w:pos="360"/>
        </w:tabs>
        <w:ind w:left="360"/>
        <w:jc w:val="both"/>
        <w:rPr>
          <w:sz w:val="22"/>
          <w:szCs w:val="22"/>
        </w:rPr>
      </w:pPr>
    </w:p>
    <w:p w:rsidR="00F672AB" w:rsidRDefault="00F672AB" w:rsidP="00B94461">
      <w:pPr>
        <w:tabs>
          <w:tab w:val="left" w:pos="540"/>
        </w:tabs>
        <w:ind w:left="540"/>
        <w:jc w:val="both"/>
        <w:rPr>
          <w:sz w:val="22"/>
          <w:szCs w:val="22"/>
        </w:rPr>
      </w:pPr>
      <w:r>
        <w:rPr>
          <w:sz w:val="22"/>
          <w:szCs w:val="22"/>
        </w:rPr>
        <w:t>The unaudited financial report should be read in conjunction with the audited financial statements for the year ended 31 December 200</w:t>
      </w:r>
      <w:r w:rsidR="005F3FAD">
        <w:rPr>
          <w:sz w:val="22"/>
          <w:szCs w:val="22"/>
        </w:rPr>
        <w:t>9</w:t>
      </w:r>
      <w:r>
        <w:rPr>
          <w:sz w:val="22"/>
          <w:szCs w:val="22"/>
        </w:rPr>
        <w:t>. These explanatory notes attached to the unaudited financial statements provide an explanation of events and transactions that are significant to an understanding of the changes in the financial position and performance of the Group since the financial year ended 31 December 200</w:t>
      </w:r>
      <w:r w:rsidR="005F3FAD">
        <w:rPr>
          <w:sz w:val="22"/>
          <w:szCs w:val="22"/>
        </w:rPr>
        <w:t>9</w:t>
      </w:r>
      <w:r>
        <w:rPr>
          <w:sz w:val="22"/>
          <w:szCs w:val="22"/>
        </w:rPr>
        <w:t>.</w:t>
      </w:r>
    </w:p>
    <w:p w:rsidR="00F672AB" w:rsidRDefault="00F672AB">
      <w:pPr>
        <w:tabs>
          <w:tab w:val="left" w:pos="360"/>
        </w:tabs>
        <w:ind w:left="360"/>
        <w:rPr>
          <w:sz w:val="22"/>
          <w:szCs w:val="22"/>
        </w:rPr>
      </w:pPr>
    </w:p>
    <w:p w:rsidR="00B94461" w:rsidRDefault="00B94461" w:rsidP="00B94461">
      <w:pPr>
        <w:pStyle w:val="Heading2"/>
        <w:rPr>
          <w:sz w:val="22"/>
          <w:szCs w:val="22"/>
        </w:rPr>
      </w:pPr>
      <w:r>
        <w:rPr>
          <w:sz w:val="22"/>
          <w:szCs w:val="22"/>
        </w:rPr>
        <w:t>A2    Changes in Accounting Policies</w:t>
      </w:r>
    </w:p>
    <w:p w:rsidR="0095391B" w:rsidRDefault="00F672AB" w:rsidP="000802EF">
      <w:pPr>
        <w:pStyle w:val="BodyTextIndent2"/>
        <w:tabs>
          <w:tab w:val="clear" w:pos="360"/>
          <w:tab w:val="left" w:pos="540"/>
        </w:tabs>
        <w:ind w:left="540"/>
        <w:rPr>
          <w:sz w:val="24"/>
          <w:szCs w:val="24"/>
        </w:rPr>
      </w:pPr>
      <w:r w:rsidRPr="00E53458">
        <w:rPr>
          <w:sz w:val="24"/>
          <w:szCs w:val="24"/>
        </w:rPr>
        <w:t>The accounting policies, methods of computation and basis of consolidation adopted by the Group in this unaudited financial report are consistent with those used in the preparation of the audited financial statements for the financial year ended 31 December 200</w:t>
      </w:r>
      <w:r w:rsidR="005F3FAD">
        <w:rPr>
          <w:sz w:val="24"/>
          <w:szCs w:val="24"/>
        </w:rPr>
        <w:t>9</w:t>
      </w:r>
      <w:r w:rsidR="000802EF">
        <w:rPr>
          <w:sz w:val="24"/>
          <w:szCs w:val="24"/>
        </w:rPr>
        <w:t>.</w:t>
      </w:r>
    </w:p>
    <w:p w:rsidR="00F00B3C" w:rsidRDefault="00F00B3C" w:rsidP="00B94461">
      <w:pPr>
        <w:pStyle w:val="BodyTextIndent2"/>
        <w:tabs>
          <w:tab w:val="clear" w:pos="360"/>
          <w:tab w:val="left" w:pos="540"/>
        </w:tabs>
        <w:ind w:left="540"/>
        <w:rPr>
          <w:sz w:val="24"/>
          <w:szCs w:val="24"/>
        </w:rPr>
      </w:pPr>
    </w:p>
    <w:p w:rsidR="00F672AB" w:rsidRPr="00282A63" w:rsidRDefault="00B94461" w:rsidP="00282A63">
      <w:pPr>
        <w:rPr>
          <w:b/>
          <w:sz w:val="24"/>
          <w:szCs w:val="24"/>
        </w:rPr>
      </w:pPr>
      <w:r w:rsidRPr="00282A63">
        <w:rPr>
          <w:b/>
          <w:sz w:val="24"/>
          <w:szCs w:val="24"/>
        </w:rPr>
        <w:t>A</w:t>
      </w:r>
      <w:r w:rsidR="0095391B">
        <w:rPr>
          <w:b/>
          <w:sz w:val="24"/>
          <w:szCs w:val="24"/>
        </w:rPr>
        <w:t>3</w:t>
      </w:r>
      <w:r w:rsidR="00282A63" w:rsidRPr="00282A63">
        <w:rPr>
          <w:b/>
          <w:sz w:val="24"/>
          <w:szCs w:val="24"/>
        </w:rPr>
        <w:t xml:space="preserve">  </w:t>
      </w:r>
      <w:r w:rsidRPr="00282A63">
        <w:rPr>
          <w:b/>
          <w:sz w:val="24"/>
          <w:szCs w:val="24"/>
        </w:rPr>
        <w:t xml:space="preserve">  </w:t>
      </w:r>
      <w:r w:rsidR="00F672AB" w:rsidRPr="00282A63">
        <w:rPr>
          <w:b/>
          <w:sz w:val="24"/>
          <w:szCs w:val="24"/>
        </w:rPr>
        <w:t>Auditors’ Report on the Preceding Annual Financial Statements</w:t>
      </w:r>
    </w:p>
    <w:p w:rsidR="0041108D" w:rsidRDefault="00F672AB" w:rsidP="00B94461">
      <w:pPr>
        <w:pStyle w:val="BodyTextIndent"/>
        <w:tabs>
          <w:tab w:val="clear" w:pos="360"/>
          <w:tab w:val="left" w:pos="540"/>
        </w:tabs>
        <w:ind w:left="540"/>
        <w:jc w:val="both"/>
        <w:rPr>
          <w:sz w:val="24"/>
          <w:szCs w:val="24"/>
        </w:rPr>
      </w:pPr>
      <w:r w:rsidRPr="00282A63">
        <w:rPr>
          <w:sz w:val="24"/>
          <w:szCs w:val="24"/>
        </w:rPr>
        <w:t>The auditors’ report on the financial statements for the year ended 31 December 200</w:t>
      </w:r>
      <w:r w:rsidR="005F3FAD">
        <w:rPr>
          <w:sz w:val="24"/>
          <w:szCs w:val="24"/>
        </w:rPr>
        <w:t>9</w:t>
      </w:r>
      <w:r w:rsidR="0041108D" w:rsidRPr="00282A63">
        <w:rPr>
          <w:sz w:val="24"/>
          <w:szCs w:val="24"/>
        </w:rPr>
        <w:t xml:space="preserve"> was not qualified.</w:t>
      </w:r>
    </w:p>
    <w:p w:rsidR="00865272" w:rsidRPr="00282A63" w:rsidRDefault="00865272" w:rsidP="00B94461">
      <w:pPr>
        <w:pStyle w:val="BodyTextIndent"/>
        <w:tabs>
          <w:tab w:val="clear" w:pos="360"/>
          <w:tab w:val="left" w:pos="540"/>
        </w:tabs>
        <w:ind w:left="540"/>
        <w:jc w:val="both"/>
        <w:rPr>
          <w:sz w:val="24"/>
          <w:szCs w:val="24"/>
        </w:rPr>
      </w:pPr>
    </w:p>
    <w:p w:rsidR="00F672AB" w:rsidRDefault="00F672AB">
      <w:pPr>
        <w:pStyle w:val="Heading2"/>
        <w:jc w:val="both"/>
        <w:rPr>
          <w:sz w:val="22"/>
          <w:szCs w:val="22"/>
        </w:rPr>
      </w:pPr>
      <w:r>
        <w:rPr>
          <w:sz w:val="22"/>
          <w:szCs w:val="22"/>
        </w:rPr>
        <w:t>A</w:t>
      </w:r>
      <w:r w:rsidR="0095391B">
        <w:rPr>
          <w:sz w:val="22"/>
          <w:szCs w:val="22"/>
        </w:rPr>
        <w:t>4</w:t>
      </w:r>
      <w:r>
        <w:rPr>
          <w:sz w:val="22"/>
          <w:szCs w:val="22"/>
        </w:rPr>
        <w:tab/>
      </w:r>
      <w:r w:rsidR="00B94461">
        <w:rPr>
          <w:sz w:val="22"/>
          <w:szCs w:val="22"/>
        </w:rPr>
        <w:t xml:space="preserve">   </w:t>
      </w:r>
      <w:r>
        <w:rPr>
          <w:sz w:val="22"/>
          <w:szCs w:val="22"/>
        </w:rPr>
        <w:t>Seasonal or Cyclical Factors</w:t>
      </w:r>
    </w:p>
    <w:p w:rsidR="00F672AB" w:rsidRDefault="00F672AB" w:rsidP="00B94461">
      <w:pPr>
        <w:pStyle w:val="BodyTextIndent"/>
        <w:tabs>
          <w:tab w:val="clear" w:pos="360"/>
          <w:tab w:val="left" w:pos="540"/>
        </w:tabs>
        <w:ind w:left="540"/>
        <w:jc w:val="both"/>
        <w:rPr>
          <w:sz w:val="22"/>
          <w:szCs w:val="22"/>
        </w:rPr>
      </w:pPr>
      <w:r>
        <w:rPr>
          <w:sz w:val="22"/>
          <w:szCs w:val="22"/>
        </w:rPr>
        <w:t>The businesses of the group are in oil palm development</w:t>
      </w:r>
      <w:r w:rsidR="00EA0DD3">
        <w:rPr>
          <w:sz w:val="22"/>
          <w:szCs w:val="22"/>
        </w:rPr>
        <w:t xml:space="preserve"> and plywood manufacturing operation</w:t>
      </w:r>
      <w:r>
        <w:rPr>
          <w:sz w:val="22"/>
          <w:szCs w:val="22"/>
        </w:rPr>
        <w:t>. The group businesses are subjected to seasonal or cyclical factors.</w:t>
      </w:r>
    </w:p>
    <w:p w:rsidR="00F672AB" w:rsidRDefault="00F672AB">
      <w:pPr>
        <w:tabs>
          <w:tab w:val="left" w:pos="360"/>
        </w:tabs>
        <w:rPr>
          <w:sz w:val="22"/>
          <w:szCs w:val="22"/>
        </w:rPr>
      </w:pPr>
    </w:p>
    <w:p w:rsidR="00F672AB" w:rsidRDefault="00F672AB">
      <w:pPr>
        <w:pStyle w:val="Heading2"/>
        <w:jc w:val="both"/>
        <w:rPr>
          <w:sz w:val="22"/>
          <w:szCs w:val="22"/>
        </w:rPr>
      </w:pPr>
      <w:r>
        <w:rPr>
          <w:sz w:val="22"/>
          <w:szCs w:val="22"/>
        </w:rPr>
        <w:t>A</w:t>
      </w:r>
      <w:r w:rsidR="0095391B">
        <w:rPr>
          <w:sz w:val="22"/>
          <w:szCs w:val="22"/>
        </w:rPr>
        <w:t>5</w:t>
      </w:r>
      <w:r>
        <w:rPr>
          <w:sz w:val="22"/>
          <w:szCs w:val="22"/>
        </w:rPr>
        <w:tab/>
      </w:r>
      <w:r w:rsidR="00B94461">
        <w:rPr>
          <w:sz w:val="22"/>
          <w:szCs w:val="22"/>
        </w:rPr>
        <w:t xml:space="preserve">   </w:t>
      </w:r>
      <w:r>
        <w:rPr>
          <w:sz w:val="22"/>
          <w:szCs w:val="22"/>
        </w:rPr>
        <w:t xml:space="preserve">Unusual Items Due to their Nature, Size or Incidence  </w:t>
      </w:r>
    </w:p>
    <w:p w:rsidR="00F672AB" w:rsidRDefault="00F672AB" w:rsidP="00B94461">
      <w:pPr>
        <w:pStyle w:val="BodyTextIndent"/>
        <w:tabs>
          <w:tab w:val="clear" w:pos="360"/>
          <w:tab w:val="left" w:pos="540"/>
        </w:tabs>
        <w:ind w:left="540"/>
        <w:jc w:val="both"/>
        <w:rPr>
          <w:sz w:val="22"/>
          <w:szCs w:val="22"/>
        </w:rPr>
      </w:pPr>
      <w:r>
        <w:rPr>
          <w:sz w:val="22"/>
          <w:szCs w:val="22"/>
        </w:rPr>
        <w:t>There were no unusual items affecting assets, liabilities, equity, net income or cash flows during the financial period.</w:t>
      </w:r>
    </w:p>
    <w:p w:rsidR="00F672AB" w:rsidRDefault="00F672AB">
      <w:pPr>
        <w:tabs>
          <w:tab w:val="left" w:pos="360"/>
        </w:tabs>
        <w:ind w:left="360"/>
        <w:rPr>
          <w:sz w:val="22"/>
          <w:szCs w:val="22"/>
        </w:rPr>
      </w:pPr>
    </w:p>
    <w:p w:rsidR="00F672AB" w:rsidRDefault="00B94461">
      <w:pPr>
        <w:pStyle w:val="Heading2"/>
        <w:rPr>
          <w:sz w:val="22"/>
          <w:szCs w:val="22"/>
        </w:rPr>
      </w:pPr>
      <w:r>
        <w:rPr>
          <w:sz w:val="22"/>
          <w:szCs w:val="22"/>
        </w:rPr>
        <w:t>A</w:t>
      </w:r>
      <w:r w:rsidR="0095391B">
        <w:rPr>
          <w:sz w:val="22"/>
          <w:szCs w:val="22"/>
        </w:rPr>
        <w:t>6</w:t>
      </w:r>
      <w:r>
        <w:rPr>
          <w:sz w:val="22"/>
          <w:szCs w:val="22"/>
        </w:rPr>
        <w:t xml:space="preserve">     </w:t>
      </w:r>
      <w:r w:rsidR="00F672AB">
        <w:rPr>
          <w:sz w:val="22"/>
          <w:szCs w:val="22"/>
        </w:rPr>
        <w:t>Material Changes in Estimated of Amounts</w:t>
      </w:r>
    </w:p>
    <w:p w:rsidR="00F672AB" w:rsidRDefault="00F672AB" w:rsidP="00B94461">
      <w:pPr>
        <w:pStyle w:val="BodyTextIndent"/>
        <w:tabs>
          <w:tab w:val="clear" w:pos="360"/>
          <w:tab w:val="left" w:pos="540"/>
        </w:tabs>
        <w:ind w:left="540"/>
        <w:jc w:val="both"/>
        <w:rPr>
          <w:sz w:val="22"/>
          <w:szCs w:val="22"/>
        </w:rPr>
      </w:pPr>
      <w:r>
        <w:rPr>
          <w:sz w:val="22"/>
          <w:szCs w:val="22"/>
        </w:rPr>
        <w:t>There were no material changes in estimates, which would materially affect the results of the cur</w:t>
      </w:r>
      <w:r w:rsidR="00EF7AB4">
        <w:rPr>
          <w:sz w:val="22"/>
          <w:szCs w:val="22"/>
        </w:rPr>
        <w:t>rent unaudited financial period.</w:t>
      </w:r>
    </w:p>
    <w:p w:rsidR="006641E3" w:rsidRDefault="006641E3" w:rsidP="00B94461">
      <w:pPr>
        <w:pStyle w:val="BodyTextIndent"/>
        <w:tabs>
          <w:tab w:val="clear" w:pos="360"/>
          <w:tab w:val="left" w:pos="540"/>
        </w:tabs>
        <w:ind w:left="540"/>
        <w:jc w:val="both"/>
        <w:rPr>
          <w:sz w:val="22"/>
          <w:szCs w:val="22"/>
        </w:rPr>
      </w:pPr>
    </w:p>
    <w:p w:rsidR="00AC7201" w:rsidRDefault="00AC7201" w:rsidP="00AC7201">
      <w:pPr>
        <w:pStyle w:val="Heading2"/>
        <w:rPr>
          <w:sz w:val="22"/>
          <w:szCs w:val="22"/>
        </w:rPr>
      </w:pPr>
      <w:r>
        <w:rPr>
          <w:sz w:val="22"/>
          <w:szCs w:val="22"/>
        </w:rPr>
        <w:t>A</w:t>
      </w:r>
      <w:r w:rsidR="0095391B">
        <w:rPr>
          <w:sz w:val="22"/>
          <w:szCs w:val="22"/>
        </w:rPr>
        <w:t>7</w:t>
      </w:r>
      <w:r>
        <w:rPr>
          <w:sz w:val="22"/>
          <w:szCs w:val="22"/>
        </w:rPr>
        <w:tab/>
      </w:r>
      <w:r w:rsidR="00B94461">
        <w:rPr>
          <w:sz w:val="22"/>
          <w:szCs w:val="22"/>
        </w:rPr>
        <w:t xml:space="preserve">  </w:t>
      </w:r>
      <w:r>
        <w:rPr>
          <w:sz w:val="22"/>
          <w:szCs w:val="22"/>
        </w:rPr>
        <w:t>Changes in Debt and Equity Securities</w:t>
      </w:r>
    </w:p>
    <w:p w:rsidR="00AC7201" w:rsidRDefault="00B94461" w:rsidP="00B94461">
      <w:pPr>
        <w:pStyle w:val="BodyTextIndent2"/>
        <w:tabs>
          <w:tab w:val="clear" w:pos="360"/>
          <w:tab w:val="left" w:pos="540"/>
        </w:tabs>
        <w:ind w:left="540" w:hanging="180"/>
        <w:rPr>
          <w:sz w:val="22"/>
          <w:szCs w:val="22"/>
        </w:rPr>
      </w:pPr>
      <w:r>
        <w:rPr>
          <w:sz w:val="22"/>
          <w:szCs w:val="22"/>
        </w:rPr>
        <w:t xml:space="preserve">  </w:t>
      </w:r>
      <w:r w:rsidR="00AC7201">
        <w:rPr>
          <w:sz w:val="22"/>
          <w:szCs w:val="22"/>
        </w:rPr>
        <w:t>There were no issuances, cancellation, repurchases, resale an</w:t>
      </w:r>
      <w:r w:rsidR="0041108D">
        <w:rPr>
          <w:sz w:val="22"/>
          <w:szCs w:val="22"/>
        </w:rPr>
        <w:t xml:space="preserve">d repayments of debt and equity </w:t>
      </w:r>
      <w:r>
        <w:rPr>
          <w:sz w:val="22"/>
          <w:szCs w:val="22"/>
        </w:rPr>
        <w:t xml:space="preserve">   </w:t>
      </w:r>
      <w:r w:rsidR="00AC7201">
        <w:rPr>
          <w:sz w:val="22"/>
          <w:szCs w:val="22"/>
        </w:rPr>
        <w:t>securities during the unaudited financial period</w:t>
      </w:r>
      <w:r w:rsidR="0041108D">
        <w:rPr>
          <w:sz w:val="22"/>
          <w:szCs w:val="22"/>
        </w:rPr>
        <w:t>.</w:t>
      </w:r>
    </w:p>
    <w:p w:rsidR="0041108D" w:rsidRDefault="0041108D" w:rsidP="00AC7201">
      <w:pPr>
        <w:pStyle w:val="BodyTextIndent2"/>
        <w:tabs>
          <w:tab w:val="clear" w:pos="360"/>
          <w:tab w:val="left" w:pos="720"/>
        </w:tabs>
        <w:ind w:left="720" w:hanging="360"/>
        <w:rPr>
          <w:sz w:val="22"/>
          <w:szCs w:val="22"/>
        </w:rPr>
      </w:pPr>
    </w:p>
    <w:p w:rsidR="000802EF" w:rsidRDefault="000802EF" w:rsidP="00414ABA">
      <w:pPr>
        <w:pStyle w:val="Heading2"/>
        <w:rPr>
          <w:sz w:val="22"/>
          <w:szCs w:val="22"/>
        </w:rPr>
      </w:pPr>
    </w:p>
    <w:p w:rsidR="000802EF" w:rsidRPr="000802EF" w:rsidRDefault="000802EF" w:rsidP="000802EF"/>
    <w:p w:rsidR="000802EF" w:rsidRDefault="000802EF" w:rsidP="00414ABA">
      <w:pPr>
        <w:pStyle w:val="Heading2"/>
        <w:rPr>
          <w:sz w:val="22"/>
          <w:szCs w:val="22"/>
        </w:rPr>
      </w:pPr>
    </w:p>
    <w:p w:rsidR="000802EF" w:rsidRPr="000802EF" w:rsidRDefault="000802EF" w:rsidP="000802EF"/>
    <w:p w:rsidR="000802EF" w:rsidRDefault="000802EF" w:rsidP="00414ABA">
      <w:pPr>
        <w:pStyle w:val="Heading2"/>
        <w:rPr>
          <w:sz w:val="22"/>
          <w:szCs w:val="22"/>
        </w:rPr>
      </w:pPr>
    </w:p>
    <w:p w:rsidR="000802EF" w:rsidRDefault="000802EF" w:rsidP="000802EF"/>
    <w:p w:rsidR="009B70C3" w:rsidRDefault="009B70C3" w:rsidP="000802EF"/>
    <w:p w:rsidR="009B70C3" w:rsidRDefault="009B70C3" w:rsidP="000802EF"/>
    <w:p w:rsidR="009B70C3" w:rsidRPr="000802EF" w:rsidRDefault="009B70C3" w:rsidP="000802EF"/>
    <w:p w:rsidR="00414ABA" w:rsidRDefault="00B94461" w:rsidP="00414ABA">
      <w:pPr>
        <w:pStyle w:val="Heading2"/>
        <w:rPr>
          <w:sz w:val="22"/>
          <w:szCs w:val="22"/>
        </w:rPr>
      </w:pPr>
      <w:r>
        <w:rPr>
          <w:sz w:val="22"/>
          <w:szCs w:val="22"/>
        </w:rPr>
        <w:lastRenderedPageBreak/>
        <w:t>A</w:t>
      </w:r>
      <w:r w:rsidR="0095391B">
        <w:rPr>
          <w:sz w:val="22"/>
          <w:szCs w:val="22"/>
        </w:rPr>
        <w:t>8</w:t>
      </w:r>
      <w:r w:rsidR="00414ABA">
        <w:rPr>
          <w:sz w:val="22"/>
          <w:szCs w:val="22"/>
        </w:rPr>
        <w:tab/>
      </w:r>
      <w:r>
        <w:rPr>
          <w:sz w:val="22"/>
          <w:szCs w:val="22"/>
        </w:rPr>
        <w:t xml:space="preserve">   </w:t>
      </w:r>
      <w:r w:rsidR="00414ABA">
        <w:rPr>
          <w:sz w:val="22"/>
          <w:szCs w:val="22"/>
        </w:rPr>
        <w:t>Dividend Paid</w:t>
      </w:r>
    </w:p>
    <w:p w:rsidR="007A07CF" w:rsidRDefault="00414ABA" w:rsidP="00F91E6C">
      <w:pPr>
        <w:tabs>
          <w:tab w:val="left" w:pos="360"/>
        </w:tabs>
        <w:jc w:val="both"/>
        <w:rPr>
          <w:sz w:val="22"/>
          <w:szCs w:val="22"/>
        </w:rPr>
      </w:pPr>
      <w:r>
        <w:rPr>
          <w:b/>
          <w:sz w:val="22"/>
          <w:szCs w:val="22"/>
        </w:rPr>
        <w:tab/>
      </w:r>
      <w:r w:rsidR="00B94461">
        <w:rPr>
          <w:b/>
          <w:sz w:val="22"/>
          <w:szCs w:val="22"/>
        </w:rPr>
        <w:t xml:space="preserve">   </w:t>
      </w:r>
      <w:r w:rsidR="00F91E6C">
        <w:rPr>
          <w:sz w:val="22"/>
          <w:szCs w:val="22"/>
        </w:rPr>
        <w:t>There were no dividends paid or declared during the financial period.</w:t>
      </w:r>
    </w:p>
    <w:p w:rsidR="00D6496C" w:rsidRDefault="00D6496C" w:rsidP="00D6496C">
      <w:pPr>
        <w:tabs>
          <w:tab w:val="left" w:pos="360"/>
        </w:tabs>
        <w:jc w:val="both"/>
        <w:rPr>
          <w:sz w:val="22"/>
          <w:szCs w:val="22"/>
        </w:rPr>
      </w:pPr>
    </w:p>
    <w:p w:rsidR="007A07CF" w:rsidRDefault="007A07CF" w:rsidP="00553B7B">
      <w:pPr>
        <w:pStyle w:val="Heading2"/>
        <w:rPr>
          <w:sz w:val="22"/>
          <w:szCs w:val="22"/>
        </w:rPr>
      </w:pPr>
    </w:p>
    <w:p w:rsidR="00F672AB" w:rsidRDefault="00BE045D" w:rsidP="00553B7B">
      <w:pPr>
        <w:pStyle w:val="Heading2"/>
        <w:rPr>
          <w:sz w:val="22"/>
          <w:szCs w:val="22"/>
        </w:rPr>
      </w:pPr>
      <w:r>
        <w:rPr>
          <w:sz w:val="22"/>
          <w:szCs w:val="22"/>
        </w:rPr>
        <w:t>A</w:t>
      </w:r>
      <w:r w:rsidR="0095391B">
        <w:rPr>
          <w:sz w:val="22"/>
          <w:szCs w:val="22"/>
        </w:rPr>
        <w:t xml:space="preserve">9 </w:t>
      </w:r>
      <w:r w:rsidR="00B94461">
        <w:rPr>
          <w:sz w:val="22"/>
          <w:szCs w:val="22"/>
        </w:rPr>
        <w:t xml:space="preserve">   </w:t>
      </w:r>
      <w:r w:rsidR="00F672AB">
        <w:rPr>
          <w:sz w:val="22"/>
          <w:szCs w:val="22"/>
        </w:rPr>
        <w:t>Segmental Information</w:t>
      </w:r>
    </w:p>
    <w:p w:rsidR="00F672AB" w:rsidRDefault="00F672A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165B4">
        <w:rPr>
          <w:sz w:val="22"/>
          <w:szCs w:val="22"/>
        </w:rPr>
        <w:t xml:space="preserve">  </w:t>
      </w:r>
      <w:r>
        <w:rPr>
          <w:sz w:val="22"/>
          <w:szCs w:val="22"/>
        </w:rPr>
        <w:t>Current financial</w:t>
      </w:r>
      <w:r>
        <w:rPr>
          <w:sz w:val="22"/>
          <w:szCs w:val="22"/>
        </w:rPr>
        <w:tab/>
      </w:r>
      <w:r>
        <w:rPr>
          <w:sz w:val="22"/>
          <w:szCs w:val="22"/>
        </w:rPr>
        <w:tab/>
      </w:r>
      <w:r w:rsidR="007165B4">
        <w:rPr>
          <w:sz w:val="22"/>
          <w:szCs w:val="22"/>
        </w:rPr>
        <w:t xml:space="preserve"> </w:t>
      </w:r>
      <w:r>
        <w:rPr>
          <w:sz w:val="22"/>
          <w:szCs w:val="22"/>
        </w:rPr>
        <w:t>Comparative financial</w:t>
      </w:r>
    </w:p>
    <w:p w:rsidR="00F672AB" w:rsidRDefault="0041108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period</w:t>
      </w:r>
      <w:r w:rsidR="00F672AB">
        <w:rPr>
          <w:sz w:val="22"/>
          <w:szCs w:val="22"/>
        </w:rPr>
        <w:t xml:space="preserve">   </w:t>
      </w:r>
      <w:r w:rsidR="00F672AB">
        <w:rPr>
          <w:sz w:val="22"/>
          <w:szCs w:val="22"/>
        </w:rPr>
        <w:tab/>
      </w:r>
      <w:r w:rsidR="00621908">
        <w:rPr>
          <w:sz w:val="22"/>
          <w:szCs w:val="22"/>
        </w:rPr>
        <w:tab/>
        <w:t xml:space="preserve">                         </w:t>
      </w:r>
      <w:r w:rsidR="00657438">
        <w:rPr>
          <w:sz w:val="22"/>
          <w:szCs w:val="22"/>
        </w:rPr>
        <w:t xml:space="preserve"> </w:t>
      </w:r>
      <w:r>
        <w:rPr>
          <w:sz w:val="22"/>
          <w:szCs w:val="22"/>
        </w:rPr>
        <w:t>period</w:t>
      </w:r>
    </w:p>
    <w:p w:rsidR="00F672AB" w:rsidRDefault="00F672AB">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F3FAD">
        <w:rPr>
          <w:sz w:val="22"/>
          <w:szCs w:val="22"/>
        </w:rPr>
        <w:t xml:space="preserve">    </w:t>
      </w:r>
      <w:r>
        <w:rPr>
          <w:sz w:val="22"/>
          <w:szCs w:val="22"/>
          <w:u w:val="single"/>
        </w:rPr>
        <w:t>3</w:t>
      </w:r>
      <w:r w:rsidR="00CB66A3">
        <w:rPr>
          <w:sz w:val="22"/>
          <w:szCs w:val="22"/>
          <w:u w:val="single"/>
        </w:rPr>
        <w:t>1</w:t>
      </w:r>
      <w:r>
        <w:rPr>
          <w:sz w:val="22"/>
          <w:szCs w:val="22"/>
          <w:u w:val="single"/>
        </w:rPr>
        <w:t xml:space="preserve"> </w:t>
      </w:r>
      <w:r w:rsidR="005F3FAD">
        <w:rPr>
          <w:sz w:val="22"/>
          <w:szCs w:val="22"/>
          <w:u w:val="single"/>
        </w:rPr>
        <w:t>March</w:t>
      </w:r>
      <w:r>
        <w:rPr>
          <w:sz w:val="22"/>
          <w:szCs w:val="22"/>
          <w:u w:val="single"/>
        </w:rPr>
        <w:t xml:space="preserve"> 20</w:t>
      </w:r>
      <w:r w:rsidR="005F3FAD">
        <w:rPr>
          <w:sz w:val="22"/>
          <w:szCs w:val="22"/>
          <w:u w:val="single"/>
        </w:rPr>
        <w:t>10</w:t>
      </w:r>
      <w:r w:rsidR="007165B4">
        <w:rPr>
          <w:sz w:val="22"/>
          <w:szCs w:val="22"/>
        </w:rPr>
        <w:tab/>
        <w:t xml:space="preserve">             </w:t>
      </w:r>
      <w:r>
        <w:rPr>
          <w:sz w:val="22"/>
          <w:szCs w:val="22"/>
        </w:rPr>
        <w:t xml:space="preserve"> </w:t>
      </w:r>
      <w:r w:rsidR="00A01E27">
        <w:rPr>
          <w:sz w:val="22"/>
          <w:szCs w:val="22"/>
        </w:rPr>
        <w:t xml:space="preserve"> </w:t>
      </w:r>
      <w:r w:rsidR="00983061">
        <w:rPr>
          <w:sz w:val="22"/>
          <w:szCs w:val="22"/>
        </w:rPr>
        <w:t xml:space="preserve"> </w:t>
      </w:r>
      <w:r w:rsidR="005F3FAD">
        <w:rPr>
          <w:sz w:val="22"/>
          <w:szCs w:val="22"/>
        </w:rPr>
        <w:t xml:space="preserve">  </w:t>
      </w:r>
      <w:r>
        <w:rPr>
          <w:sz w:val="22"/>
          <w:szCs w:val="22"/>
          <w:u w:val="single"/>
        </w:rPr>
        <w:t>3</w:t>
      </w:r>
      <w:r w:rsidR="00CB66A3">
        <w:rPr>
          <w:sz w:val="22"/>
          <w:szCs w:val="22"/>
          <w:u w:val="single"/>
        </w:rPr>
        <w:t>1</w:t>
      </w:r>
      <w:r w:rsidR="001C2097">
        <w:rPr>
          <w:sz w:val="22"/>
          <w:szCs w:val="22"/>
          <w:u w:val="single"/>
        </w:rPr>
        <w:t xml:space="preserve"> </w:t>
      </w:r>
      <w:r w:rsidR="005F3FAD">
        <w:rPr>
          <w:sz w:val="22"/>
          <w:szCs w:val="22"/>
          <w:u w:val="single"/>
        </w:rPr>
        <w:t>March</w:t>
      </w:r>
      <w:r>
        <w:rPr>
          <w:sz w:val="22"/>
          <w:szCs w:val="22"/>
          <w:u w:val="single"/>
        </w:rPr>
        <w:t xml:space="preserve"> 200</w:t>
      </w:r>
      <w:r w:rsidR="005F3FAD">
        <w:rPr>
          <w:sz w:val="22"/>
          <w:szCs w:val="22"/>
          <w:u w:val="single"/>
        </w:rPr>
        <w:t>9</w:t>
      </w:r>
    </w:p>
    <w:p w:rsidR="00657438" w:rsidRDefault="00F672AB" w:rsidP="001E696A">
      <w:pPr>
        <w:tabs>
          <w:tab w:val="left" w:pos="630"/>
        </w:tabs>
        <w:ind w:left="630" w:hanging="630"/>
        <w:rPr>
          <w:sz w:val="22"/>
          <w:szCs w:val="22"/>
        </w:rPr>
      </w:pPr>
      <w:r>
        <w:rPr>
          <w:sz w:val="22"/>
          <w:szCs w:val="22"/>
        </w:rPr>
        <w:tab/>
      </w:r>
      <w:r>
        <w:rPr>
          <w:b/>
          <w:sz w:val="22"/>
          <w:szCs w:val="22"/>
        </w:rPr>
        <w:t>Segment revenue</w:t>
      </w:r>
      <w:r>
        <w:rPr>
          <w:sz w:val="22"/>
          <w:szCs w:val="22"/>
        </w:rPr>
        <w:tab/>
      </w:r>
      <w:r>
        <w:rPr>
          <w:sz w:val="22"/>
          <w:szCs w:val="22"/>
        </w:rPr>
        <w:tab/>
      </w:r>
      <w:r>
        <w:rPr>
          <w:sz w:val="22"/>
          <w:szCs w:val="22"/>
        </w:rPr>
        <w:tab/>
        <w:t xml:space="preserve">        RM’000</w:t>
      </w:r>
      <w:r>
        <w:rPr>
          <w:sz w:val="22"/>
          <w:szCs w:val="22"/>
        </w:rPr>
        <w:tab/>
      </w:r>
      <w:r>
        <w:rPr>
          <w:sz w:val="22"/>
          <w:szCs w:val="22"/>
        </w:rPr>
        <w:tab/>
        <w:t xml:space="preserve">  </w:t>
      </w:r>
      <w:r>
        <w:rPr>
          <w:sz w:val="22"/>
          <w:szCs w:val="22"/>
        </w:rPr>
        <w:tab/>
        <w:t xml:space="preserve">         RM’000  </w:t>
      </w:r>
      <w:r w:rsidR="001E696A">
        <w:rPr>
          <w:sz w:val="22"/>
          <w:szCs w:val="22"/>
        </w:rPr>
        <w:t xml:space="preserve"> </w:t>
      </w:r>
      <w:r w:rsidR="00657438">
        <w:rPr>
          <w:sz w:val="22"/>
          <w:szCs w:val="22"/>
        </w:rPr>
        <w:tab/>
      </w:r>
      <w:r w:rsidR="00657438">
        <w:rPr>
          <w:sz w:val="22"/>
          <w:szCs w:val="22"/>
        </w:rPr>
        <w:tab/>
      </w:r>
      <w:r w:rsidR="001E696A">
        <w:rPr>
          <w:sz w:val="22"/>
          <w:szCs w:val="22"/>
        </w:rPr>
        <w:t xml:space="preserve">      </w:t>
      </w:r>
    </w:p>
    <w:p w:rsidR="00F672AB" w:rsidRDefault="00657438" w:rsidP="001B1227">
      <w:pPr>
        <w:tabs>
          <w:tab w:val="left" w:pos="360"/>
          <w:tab w:val="left" w:pos="810"/>
          <w:tab w:val="left" w:pos="5490"/>
          <w:tab w:val="left" w:pos="7740"/>
        </w:tabs>
        <w:rPr>
          <w:sz w:val="22"/>
          <w:szCs w:val="22"/>
        </w:rPr>
      </w:pPr>
      <w:r>
        <w:rPr>
          <w:sz w:val="22"/>
          <w:szCs w:val="22"/>
        </w:rPr>
        <w:tab/>
      </w:r>
      <w:r>
        <w:rPr>
          <w:sz w:val="22"/>
          <w:szCs w:val="22"/>
        </w:rPr>
        <w:tab/>
      </w:r>
      <w:r w:rsidR="00F672AB">
        <w:rPr>
          <w:sz w:val="22"/>
          <w:szCs w:val="22"/>
        </w:rPr>
        <w:t xml:space="preserve">Plantation                                  </w:t>
      </w:r>
      <w:r w:rsidR="00DA2923">
        <w:rPr>
          <w:sz w:val="22"/>
          <w:szCs w:val="22"/>
        </w:rPr>
        <w:t xml:space="preserve">  </w:t>
      </w:r>
      <w:r w:rsidR="00AB4D22">
        <w:rPr>
          <w:sz w:val="22"/>
          <w:szCs w:val="22"/>
        </w:rPr>
        <w:t xml:space="preserve">               </w:t>
      </w:r>
      <w:r w:rsidR="000E136D">
        <w:rPr>
          <w:sz w:val="22"/>
          <w:szCs w:val="22"/>
        </w:rPr>
        <w:t xml:space="preserve">    </w:t>
      </w:r>
      <w:r w:rsidR="00AB4D22">
        <w:rPr>
          <w:sz w:val="22"/>
          <w:szCs w:val="22"/>
        </w:rPr>
        <w:t xml:space="preserve">     </w:t>
      </w:r>
      <w:r w:rsidR="00C24CA3">
        <w:rPr>
          <w:sz w:val="22"/>
          <w:szCs w:val="22"/>
        </w:rPr>
        <w:t xml:space="preserve">   995</w:t>
      </w:r>
      <w:r w:rsidR="00F83986">
        <w:rPr>
          <w:sz w:val="22"/>
          <w:szCs w:val="22"/>
        </w:rPr>
        <w:t xml:space="preserve"> </w:t>
      </w:r>
      <w:r w:rsidR="0041108D">
        <w:rPr>
          <w:sz w:val="22"/>
          <w:szCs w:val="22"/>
        </w:rPr>
        <w:t xml:space="preserve">   </w:t>
      </w:r>
      <w:r w:rsidR="00F672AB">
        <w:rPr>
          <w:sz w:val="22"/>
          <w:szCs w:val="22"/>
        </w:rPr>
        <w:t xml:space="preserve">                               </w:t>
      </w:r>
      <w:r w:rsidR="006A6121">
        <w:rPr>
          <w:sz w:val="22"/>
          <w:szCs w:val="22"/>
        </w:rPr>
        <w:t xml:space="preserve"> </w:t>
      </w:r>
      <w:r w:rsidR="00F672AB">
        <w:rPr>
          <w:sz w:val="22"/>
          <w:szCs w:val="22"/>
        </w:rPr>
        <w:t xml:space="preserve"> </w:t>
      </w:r>
      <w:r w:rsidR="000E136D">
        <w:rPr>
          <w:sz w:val="22"/>
          <w:szCs w:val="22"/>
        </w:rPr>
        <w:t xml:space="preserve"> </w:t>
      </w:r>
      <w:r w:rsidR="006A6121">
        <w:rPr>
          <w:sz w:val="22"/>
          <w:szCs w:val="22"/>
        </w:rPr>
        <w:t xml:space="preserve"> </w:t>
      </w:r>
      <w:r w:rsidR="008A611A">
        <w:rPr>
          <w:sz w:val="22"/>
          <w:szCs w:val="22"/>
        </w:rPr>
        <w:t xml:space="preserve"> </w:t>
      </w:r>
      <w:r w:rsidR="00126698">
        <w:rPr>
          <w:sz w:val="22"/>
          <w:szCs w:val="22"/>
        </w:rPr>
        <w:t xml:space="preserve">   </w:t>
      </w:r>
      <w:r w:rsidR="00946CBF">
        <w:rPr>
          <w:sz w:val="22"/>
          <w:szCs w:val="22"/>
        </w:rPr>
        <w:t xml:space="preserve"> </w:t>
      </w:r>
      <w:r w:rsidR="00C24CA3">
        <w:rPr>
          <w:sz w:val="22"/>
          <w:szCs w:val="22"/>
        </w:rPr>
        <w:t xml:space="preserve">   747</w:t>
      </w:r>
    </w:p>
    <w:p w:rsidR="00680756" w:rsidRDefault="00680756" w:rsidP="001B1227">
      <w:pPr>
        <w:tabs>
          <w:tab w:val="left" w:pos="360"/>
          <w:tab w:val="left" w:pos="810"/>
          <w:tab w:val="left" w:pos="5490"/>
          <w:tab w:val="left" w:pos="7740"/>
        </w:tabs>
        <w:rPr>
          <w:sz w:val="22"/>
          <w:szCs w:val="22"/>
        </w:rPr>
      </w:pPr>
      <w:r>
        <w:rPr>
          <w:sz w:val="22"/>
          <w:szCs w:val="22"/>
        </w:rPr>
        <w:t xml:space="preserve">               Sales of exclusive logging works &amp;</w:t>
      </w:r>
    </w:p>
    <w:p w:rsidR="00680756" w:rsidRDefault="00680756" w:rsidP="001B1227">
      <w:pPr>
        <w:tabs>
          <w:tab w:val="left" w:pos="360"/>
          <w:tab w:val="left" w:pos="810"/>
          <w:tab w:val="left" w:pos="5490"/>
          <w:tab w:val="left" w:pos="7740"/>
        </w:tabs>
        <w:rPr>
          <w:sz w:val="22"/>
          <w:szCs w:val="22"/>
        </w:rPr>
      </w:pPr>
      <w:r>
        <w:rPr>
          <w:sz w:val="22"/>
          <w:szCs w:val="22"/>
        </w:rPr>
        <w:t xml:space="preserve">                  fellable timber                        </w:t>
      </w:r>
      <w:r w:rsidR="00541BC1">
        <w:rPr>
          <w:sz w:val="22"/>
          <w:szCs w:val="22"/>
        </w:rPr>
        <w:t xml:space="preserve">                   </w:t>
      </w:r>
      <w:r w:rsidR="000E136D">
        <w:rPr>
          <w:sz w:val="22"/>
          <w:szCs w:val="22"/>
        </w:rPr>
        <w:t xml:space="preserve">  </w:t>
      </w:r>
      <w:r w:rsidR="00541BC1">
        <w:rPr>
          <w:sz w:val="22"/>
          <w:szCs w:val="22"/>
        </w:rPr>
        <w:t xml:space="preserve">  </w:t>
      </w:r>
      <w:r w:rsidR="00C24CA3">
        <w:rPr>
          <w:sz w:val="22"/>
          <w:szCs w:val="22"/>
        </w:rPr>
        <w:t xml:space="preserve">          -</w:t>
      </w:r>
      <w:r>
        <w:rPr>
          <w:sz w:val="22"/>
          <w:szCs w:val="22"/>
        </w:rPr>
        <w:t xml:space="preserve">                                   </w:t>
      </w:r>
      <w:r w:rsidR="00126698">
        <w:rPr>
          <w:sz w:val="22"/>
          <w:szCs w:val="22"/>
        </w:rPr>
        <w:t xml:space="preserve"> </w:t>
      </w:r>
      <w:r w:rsidR="000A6ACA">
        <w:rPr>
          <w:sz w:val="22"/>
          <w:szCs w:val="22"/>
        </w:rPr>
        <w:t xml:space="preserve"> </w:t>
      </w:r>
      <w:r w:rsidR="00126698">
        <w:rPr>
          <w:sz w:val="22"/>
          <w:szCs w:val="22"/>
        </w:rPr>
        <w:t xml:space="preserve">   </w:t>
      </w:r>
      <w:r>
        <w:rPr>
          <w:sz w:val="22"/>
          <w:szCs w:val="22"/>
        </w:rPr>
        <w:t xml:space="preserve">  </w:t>
      </w:r>
      <w:r w:rsidR="00C24CA3">
        <w:rPr>
          <w:sz w:val="22"/>
          <w:szCs w:val="22"/>
        </w:rPr>
        <w:t xml:space="preserve">  </w:t>
      </w:r>
      <w:r w:rsidR="00294B84">
        <w:rPr>
          <w:sz w:val="22"/>
          <w:szCs w:val="22"/>
        </w:rPr>
        <w:t>7,900</w:t>
      </w:r>
      <w:r w:rsidR="00C24CA3">
        <w:rPr>
          <w:sz w:val="22"/>
          <w:szCs w:val="22"/>
        </w:rPr>
        <w:t xml:space="preserve">     </w:t>
      </w:r>
      <w:r w:rsidR="00294B84">
        <w:rPr>
          <w:sz w:val="22"/>
          <w:szCs w:val="22"/>
        </w:rPr>
        <w:t xml:space="preserve">   </w:t>
      </w:r>
    </w:p>
    <w:p w:rsidR="00946CBF" w:rsidRDefault="00946CBF" w:rsidP="001B1227">
      <w:pPr>
        <w:tabs>
          <w:tab w:val="left" w:pos="360"/>
          <w:tab w:val="left" w:pos="810"/>
          <w:tab w:val="left" w:pos="5490"/>
          <w:tab w:val="left" w:pos="7740"/>
        </w:tabs>
        <w:rPr>
          <w:sz w:val="22"/>
          <w:szCs w:val="22"/>
        </w:rPr>
      </w:pPr>
      <w:r>
        <w:rPr>
          <w:sz w:val="22"/>
          <w:szCs w:val="22"/>
        </w:rPr>
        <w:tab/>
      </w:r>
      <w:r>
        <w:rPr>
          <w:sz w:val="22"/>
          <w:szCs w:val="22"/>
        </w:rPr>
        <w:tab/>
        <w:t xml:space="preserve">Sales of iron ore                   </w:t>
      </w:r>
      <w:r w:rsidR="00C24CA3">
        <w:rPr>
          <w:sz w:val="22"/>
          <w:szCs w:val="22"/>
        </w:rPr>
        <w:t xml:space="preserve">                                  360</w:t>
      </w:r>
      <w:r>
        <w:rPr>
          <w:sz w:val="22"/>
          <w:szCs w:val="22"/>
        </w:rPr>
        <w:t xml:space="preserve">                             </w:t>
      </w:r>
      <w:r w:rsidR="00C24CA3">
        <w:rPr>
          <w:sz w:val="22"/>
          <w:szCs w:val="22"/>
        </w:rPr>
        <w:t xml:space="preserve">   </w:t>
      </w:r>
      <w:r>
        <w:rPr>
          <w:sz w:val="22"/>
          <w:szCs w:val="22"/>
        </w:rPr>
        <w:t xml:space="preserve">          </w:t>
      </w:r>
      <w:r w:rsidR="000E136D">
        <w:rPr>
          <w:sz w:val="22"/>
          <w:szCs w:val="22"/>
        </w:rPr>
        <w:t xml:space="preserve">  </w:t>
      </w:r>
      <w:r w:rsidR="00294B84">
        <w:rPr>
          <w:sz w:val="22"/>
          <w:szCs w:val="22"/>
        </w:rPr>
        <w:t xml:space="preserve">       -</w:t>
      </w:r>
    </w:p>
    <w:p w:rsidR="00F672AB" w:rsidRDefault="00F672AB">
      <w:pPr>
        <w:tabs>
          <w:tab w:val="left" w:pos="360"/>
          <w:tab w:val="left" w:pos="810"/>
          <w:tab w:val="left" w:pos="5310"/>
          <w:tab w:val="left" w:pos="7740"/>
        </w:tabs>
        <w:rPr>
          <w:sz w:val="22"/>
          <w:szCs w:val="22"/>
        </w:rPr>
      </w:pPr>
      <w:r>
        <w:rPr>
          <w:sz w:val="22"/>
          <w:szCs w:val="22"/>
        </w:rPr>
        <w:tab/>
      </w:r>
      <w:r>
        <w:rPr>
          <w:sz w:val="22"/>
          <w:szCs w:val="22"/>
        </w:rPr>
        <w:tab/>
        <w:t xml:space="preserve">                                                                 --------------------------            </w:t>
      </w:r>
      <w:r w:rsidR="001B1227">
        <w:rPr>
          <w:sz w:val="22"/>
          <w:szCs w:val="22"/>
        </w:rPr>
        <w:t xml:space="preserve">  </w:t>
      </w:r>
      <w:r>
        <w:rPr>
          <w:sz w:val="22"/>
          <w:szCs w:val="22"/>
        </w:rPr>
        <w:t>-------------------------</w:t>
      </w:r>
    </w:p>
    <w:p w:rsidR="00F672AB" w:rsidRDefault="00F672AB">
      <w:pPr>
        <w:tabs>
          <w:tab w:val="left" w:pos="360"/>
          <w:tab w:val="left" w:pos="810"/>
          <w:tab w:val="left" w:pos="5220"/>
          <w:tab w:val="left" w:pos="7560"/>
          <w:tab w:val="left" w:pos="7650"/>
        </w:tabs>
        <w:rPr>
          <w:sz w:val="22"/>
          <w:szCs w:val="22"/>
        </w:rPr>
      </w:pPr>
      <w:r>
        <w:rPr>
          <w:sz w:val="22"/>
          <w:szCs w:val="22"/>
        </w:rPr>
        <w:tab/>
      </w:r>
      <w:r>
        <w:rPr>
          <w:sz w:val="22"/>
          <w:szCs w:val="22"/>
        </w:rPr>
        <w:tab/>
        <w:t xml:space="preserve">                                                               </w:t>
      </w:r>
      <w:r w:rsidR="00553B7B">
        <w:rPr>
          <w:sz w:val="22"/>
          <w:szCs w:val="22"/>
        </w:rPr>
        <w:t xml:space="preserve">      </w:t>
      </w:r>
      <w:r w:rsidR="000E136D">
        <w:rPr>
          <w:sz w:val="22"/>
          <w:szCs w:val="22"/>
        </w:rPr>
        <w:t xml:space="preserve">   </w:t>
      </w:r>
      <w:r w:rsidR="00553B7B">
        <w:rPr>
          <w:sz w:val="22"/>
          <w:szCs w:val="22"/>
        </w:rPr>
        <w:t xml:space="preserve"> </w:t>
      </w:r>
      <w:r w:rsidR="00983061">
        <w:rPr>
          <w:sz w:val="22"/>
          <w:szCs w:val="22"/>
        </w:rPr>
        <w:t xml:space="preserve"> </w:t>
      </w:r>
      <w:r w:rsidR="00C24CA3">
        <w:rPr>
          <w:sz w:val="22"/>
          <w:szCs w:val="22"/>
        </w:rPr>
        <w:t xml:space="preserve">  1,355</w:t>
      </w:r>
      <w:r w:rsidR="00680756">
        <w:rPr>
          <w:sz w:val="22"/>
          <w:szCs w:val="22"/>
        </w:rPr>
        <w:t xml:space="preserve">           </w:t>
      </w:r>
      <w:r w:rsidR="00A01E27">
        <w:rPr>
          <w:sz w:val="22"/>
          <w:szCs w:val="22"/>
        </w:rPr>
        <w:t xml:space="preserve">                     </w:t>
      </w:r>
      <w:r w:rsidR="00541BC1">
        <w:rPr>
          <w:sz w:val="22"/>
          <w:szCs w:val="22"/>
        </w:rPr>
        <w:t xml:space="preserve"> </w:t>
      </w:r>
      <w:r w:rsidR="00C24CA3">
        <w:rPr>
          <w:sz w:val="22"/>
          <w:szCs w:val="22"/>
        </w:rPr>
        <w:t xml:space="preserve"> </w:t>
      </w:r>
      <w:r w:rsidR="00A01E27">
        <w:rPr>
          <w:sz w:val="22"/>
          <w:szCs w:val="22"/>
        </w:rPr>
        <w:t xml:space="preserve">     </w:t>
      </w:r>
      <w:r w:rsidR="00126698">
        <w:rPr>
          <w:sz w:val="22"/>
          <w:szCs w:val="22"/>
        </w:rPr>
        <w:t xml:space="preserve"> </w:t>
      </w:r>
      <w:r w:rsidR="00946CBF">
        <w:rPr>
          <w:sz w:val="22"/>
          <w:szCs w:val="22"/>
        </w:rPr>
        <w:t xml:space="preserve"> </w:t>
      </w:r>
      <w:r w:rsidR="001903BF">
        <w:rPr>
          <w:sz w:val="22"/>
          <w:szCs w:val="22"/>
        </w:rPr>
        <w:t xml:space="preserve"> </w:t>
      </w:r>
      <w:r w:rsidR="00C24CA3">
        <w:rPr>
          <w:sz w:val="22"/>
          <w:szCs w:val="22"/>
        </w:rPr>
        <w:t xml:space="preserve">  8</w:t>
      </w:r>
      <w:r w:rsidR="00946CBF">
        <w:rPr>
          <w:sz w:val="22"/>
          <w:szCs w:val="22"/>
        </w:rPr>
        <w:t>,</w:t>
      </w:r>
      <w:r w:rsidR="00C24CA3">
        <w:rPr>
          <w:sz w:val="22"/>
          <w:szCs w:val="22"/>
        </w:rPr>
        <w:t>647</w:t>
      </w:r>
    </w:p>
    <w:p w:rsidR="00F672AB" w:rsidRDefault="00F672AB">
      <w:pPr>
        <w:tabs>
          <w:tab w:val="left" w:pos="360"/>
          <w:tab w:val="left" w:pos="810"/>
          <w:tab w:val="left" w:pos="5310"/>
          <w:tab w:val="left" w:pos="7740"/>
        </w:tabs>
        <w:ind w:left="360" w:firstLine="450"/>
        <w:rPr>
          <w:sz w:val="22"/>
          <w:szCs w:val="22"/>
        </w:rPr>
      </w:pPr>
      <w:r>
        <w:rPr>
          <w:sz w:val="22"/>
          <w:szCs w:val="22"/>
        </w:rPr>
        <w:t xml:space="preserve">                                                               </w:t>
      </w:r>
      <w:r w:rsidR="000E136D">
        <w:rPr>
          <w:sz w:val="22"/>
          <w:szCs w:val="22"/>
        </w:rPr>
        <w:t xml:space="preserve"> </w:t>
      </w:r>
      <w:r>
        <w:rPr>
          <w:sz w:val="22"/>
          <w:szCs w:val="22"/>
        </w:rPr>
        <w:t xml:space="preserve"> ================          </w:t>
      </w:r>
      <w:r w:rsidR="001B1227">
        <w:rPr>
          <w:sz w:val="22"/>
          <w:szCs w:val="22"/>
        </w:rPr>
        <w:t xml:space="preserve">  </w:t>
      </w:r>
      <w:r>
        <w:rPr>
          <w:sz w:val="22"/>
          <w:szCs w:val="22"/>
        </w:rPr>
        <w:t xml:space="preserve"> ===============</w:t>
      </w:r>
    </w:p>
    <w:p w:rsidR="00553B7B" w:rsidRDefault="00553B7B">
      <w:pPr>
        <w:pStyle w:val="Heading2"/>
        <w:tabs>
          <w:tab w:val="clear" w:pos="360"/>
          <w:tab w:val="left" w:pos="630"/>
          <w:tab w:val="left" w:pos="5310"/>
          <w:tab w:val="left" w:pos="7740"/>
        </w:tabs>
        <w:rPr>
          <w:sz w:val="22"/>
          <w:szCs w:val="22"/>
        </w:rPr>
      </w:pPr>
    </w:p>
    <w:p w:rsidR="00F672AB" w:rsidRDefault="00B94461">
      <w:pPr>
        <w:pStyle w:val="Heading2"/>
        <w:tabs>
          <w:tab w:val="clear" w:pos="360"/>
          <w:tab w:val="left" w:pos="630"/>
          <w:tab w:val="left" w:pos="5310"/>
          <w:tab w:val="left" w:pos="7740"/>
        </w:tabs>
        <w:rPr>
          <w:sz w:val="22"/>
          <w:szCs w:val="22"/>
        </w:rPr>
      </w:pPr>
      <w:r>
        <w:rPr>
          <w:sz w:val="22"/>
          <w:szCs w:val="22"/>
        </w:rPr>
        <w:t>A1</w:t>
      </w:r>
      <w:r w:rsidR="00780F71">
        <w:rPr>
          <w:sz w:val="22"/>
          <w:szCs w:val="22"/>
        </w:rPr>
        <w:t>0</w:t>
      </w:r>
      <w:r w:rsidR="00F672AB">
        <w:rPr>
          <w:sz w:val="22"/>
          <w:szCs w:val="22"/>
        </w:rPr>
        <w:tab/>
        <w:t>Valuation of Property, Plant and Equipment</w:t>
      </w:r>
    </w:p>
    <w:p w:rsidR="00793D51" w:rsidRDefault="00F672AB" w:rsidP="00B52F02">
      <w:pPr>
        <w:tabs>
          <w:tab w:val="left" w:pos="630"/>
          <w:tab w:val="left" w:pos="810"/>
          <w:tab w:val="left" w:pos="5310"/>
          <w:tab w:val="left" w:pos="7740"/>
        </w:tabs>
        <w:ind w:left="630"/>
        <w:jc w:val="both"/>
        <w:rPr>
          <w:sz w:val="22"/>
          <w:szCs w:val="22"/>
        </w:rPr>
      </w:pPr>
      <w:r>
        <w:rPr>
          <w:sz w:val="22"/>
          <w:szCs w:val="22"/>
        </w:rPr>
        <w:t xml:space="preserve">The valuations of property, plant and equipment have been </w:t>
      </w:r>
      <w:r w:rsidR="00553B7B">
        <w:rPr>
          <w:sz w:val="22"/>
          <w:szCs w:val="22"/>
        </w:rPr>
        <w:t>brought forward, without amendment from the audited financial statements for the year ended 31 December 200</w:t>
      </w:r>
      <w:r w:rsidR="005F3FAD">
        <w:rPr>
          <w:sz w:val="22"/>
          <w:szCs w:val="22"/>
        </w:rPr>
        <w:t>9</w:t>
      </w:r>
      <w:r w:rsidR="00B52F02">
        <w:rPr>
          <w:sz w:val="22"/>
          <w:szCs w:val="22"/>
        </w:rPr>
        <w:t>.</w:t>
      </w:r>
    </w:p>
    <w:p w:rsidR="00B52F02" w:rsidRDefault="00B52F02">
      <w:pPr>
        <w:tabs>
          <w:tab w:val="left" w:pos="630"/>
          <w:tab w:val="left" w:pos="810"/>
          <w:tab w:val="left" w:pos="5310"/>
          <w:tab w:val="left" w:pos="7740"/>
        </w:tabs>
        <w:rPr>
          <w:b/>
          <w:sz w:val="22"/>
          <w:szCs w:val="22"/>
        </w:rPr>
      </w:pPr>
    </w:p>
    <w:p w:rsidR="00F672AB" w:rsidRDefault="00F672AB">
      <w:pPr>
        <w:tabs>
          <w:tab w:val="left" w:pos="630"/>
          <w:tab w:val="left" w:pos="810"/>
          <w:tab w:val="left" w:pos="5310"/>
          <w:tab w:val="left" w:pos="7740"/>
        </w:tabs>
        <w:rPr>
          <w:b/>
          <w:sz w:val="22"/>
          <w:szCs w:val="22"/>
        </w:rPr>
      </w:pPr>
      <w:r>
        <w:rPr>
          <w:b/>
          <w:sz w:val="22"/>
          <w:szCs w:val="22"/>
        </w:rPr>
        <w:t>A1</w:t>
      </w:r>
      <w:r w:rsidR="00780F71">
        <w:rPr>
          <w:b/>
          <w:sz w:val="22"/>
          <w:szCs w:val="22"/>
        </w:rPr>
        <w:t>1</w:t>
      </w:r>
      <w:r>
        <w:rPr>
          <w:sz w:val="22"/>
          <w:szCs w:val="22"/>
        </w:rPr>
        <w:tab/>
      </w:r>
      <w:r>
        <w:rPr>
          <w:b/>
          <w:sz w:val="22"/>
          <w:szCs w:val="22"/>
        </w:rPr>
        <w:t>Subsequent Events</w:t>
      </w:r>
    </w:p>
    <w:p w:rsidR="00F672AB" w:rsidRDefault="00F672AB" w:rsidP="002F1A07">
      <w:pPr>
        <w:tabs>
          <w:tab w:val="left" w:pos="630"/>
          <w:tab w:val="left" w:pos="810"/>
          <w:tab w:val="left" w:pos="5310"/>
          <w:tab w:val="left" w:pos="7740"/>
        </w:tabs>
        <w:ind w:left="630" w:hanging="630"/>
        <w:jc w:val="both"/>
        <w:rPr>
          <w:sz w:val="22"/>
          <w:szCs w:val="22"/>
        </w:rPr>
      </w:pPr>
      <w:r>
        <w:rPr>
          <w:b/>
          <w:sz w:val="22"/>
          <w:szCs w:val="22"/>
        </w:rPr>
        <w:tab/>
      </w:r>
      <w:r w:rsidR="006C5790">
        <w:rPr>
          <w:b/>
          <w:sz w:val="22"/>
          <w:szCs w:val="22"/>
        </w:rPr>
        <w:t>T</w:t>
      </w:r>
      <w:r>
        <w:rPr>
          <w:sz w:val="22"/>
          <w:szCs w:val="22"/>
        </w:rPr>
        <w:t>h</w:t>
      </w:r>
      <w:r w:rsidR="00E15CDD">
        <w:rPr>
          <w:sz w:val="22"/>
          <w:szCs w:val="22"/>
        </w:rPr>
        <w:t>ere were no material events subsequent to</w:t>
      </w:r>
      <w:r w:rsidR="002F1A07">
        <w:rPr>
          <w:sz w:val="22"/>
          <w:szCs w:val="22"/>
        </w:rPr>
        <w:t xml:space="preserve"> the end of the current quarter financial period ended 3</w:t>
      </w:r>
      <w:r w:rsidR="00154FF1">
        <w:rPr>
          <w:sz w:val="22"/>
          <w:szCs w:val="22"/>
        </w:rPr>
        <w:t>1</w:t>
      </w:r>
      <w:r w:rsidR="002F1A07">
        <w:rPr>
          <w:sz w:val="22"/>
          <w:szCs w:val="22"/>
        </w:rPr>
        <w:t xml:space="preserve"> </w:t>
      </w:r>
      <w:r w:rsidR="00154FF1">
        <w:rPr>
          <w:sz w:val="22"/>
          <w:szCs w:val="22"/>
        </w:rPr>
        <w:t>Dec</w:t>
      </w:r>
      <w:r w:rsidR="00F552EB">
        <w:rPr>
          <w:sz w:val="22"/>
          <w:szCs w:val="22"/>
        </w:rPr>
        <w:t>ember</w:t>
      </w:r>
      <w:r w:rsidR="00A01E27">
        <w:rPr>
          <w:sz w:val="22"/>
          <w:szCs w:val="22"/>
        </w:rPr>
        <w:t xml:space="preserve"> </w:t>
      </w:r>
      <w:r w:rsidR="002F1A07">
        <w:rPr>
          <w:sz w:val="22"/>
          <w:szCs w:val="22"/>
        </w:rPr>
        <w:t>20</w:t>
      </w:r>
      <w:r w:rsidR="009A3223">
        <w:rPr>
          <w:sz w:val="22"/>
          <w:szCs w:val="22"/>
        </w:rPr>
        <w:t>09</w:t>
      </w:r>
      <w:r w:rsidR="002F1A07">
        <w:rPr>
          <w:sz w:val="22"/>
          <w:szCs w:val="22"/>
        </w:rPr>
        <w:t xml:space="preserve"> up to the date of this report that have </w:t>
      </w:r>
      <w:r w:rsidR="009A17FD">
        <w:rPr>
          <w:sz w:val="22"/>
          <w:szCs w:val="22"/>
        </w:rPr>
        <w:t xml:space="preserve">not </w:t>
      </w:r>
      <w:r w:rsidR="002F1A07">
        <w:rPr>
          <w:sz w:val="22"/>
          <w:szCs w:val="22"/>
        </w:rPr>
        <w:t>been reflect</w:t>
      </w:r>
      <w:r w:rsidR="009A17FD">
        <w:rPr>
          <w:sz w:val="22"/>
          <w:szCs w:val="22"/>
        </w:rPr>
        <w:t>ed</w:t>
      </w:r>
      <w:r w:rsidR="002F1A07">
        <w:rPr>
          <w:sz w:val="22"/>
          <w:szCs w:val="22"/>
        </w:rPr>
        <w:t xml:space="preserve"> in the interim financial statements.</w:t>
      </w:r>
    </w:p>
    <w:p w:rsidR="00553B7B" w:rsidRDefault="00553B7B">
      <w:pPr>
        <w:tabs>
          <w:tab w:val="left" w:pos="630"/>
          <w:tab w:val="left" w:pos="810"/>
          <w:tab w:val="left" w:pos="5310"/>
          <w:tab w:val="left" w:pos="7740"/>
        </w:tabs>
        <w:rPr>
          <w:sz w:val="22"/>
          <w:szCs w:val="22"/>
        </w:rPr>
      </w:pPr>
    </w:p>
    <w:p w:rsidR="00F672AB" w:rsidRDefault="00F672AB">
      <w:pPr>
        <w:pStyle w:val="Heading2"/>
        <w:tabs>
          <w:tab w:val="clear" w:pos="360"/>
          <w:tab w:val="left" w:pos="630"/>
          <w:tab w:val="left" w:pos="810"/>
          <w:tab w:val="left" w:pos="5310"/>
          <w:tab w:val="left" w:pos="7740"/>
        </w:tabs>
        <w:rPr>
          <w:sz w:val="22"/>
          <w:szCs w:val="22"/>
        </w:rPr>
      </w:pPr>
      <w:r>
        <w:rPr>
          <w:sz w:val="22"/>
          <w:szCs w:val="22"/>
        </w:rPr>
        <w:t>A1</w:t>
      </w:r>
      <w:r w:rsidR="00780F71">
        <w:rPr>
          <w:sz w:val="22"/>
          <w:szCs w:val="22"/>
        </w:rPr>
        <w:t>2</w:t>
      </w:r>
      <w:r>
        <w:rPr>
          <w:sz w:val="22"/>
          <w:szCs w:val="22"/>
        </w:rPr>
        <w:t xml:space="preserve">     Changes in the Composition of the Group</w:t>
      </w:r>
    </w:p>
    <w:p w:rsidR="00553B7B" w:rsidRPr="00553B7B" w:rsidRDefault="00553B7B" w:rsidP="00553B7B">
      <w:pPr>
        <w:ind w:left="720"/>
        <w:jc w:val="both"/>
        <w:rPr>
          <w:sz w:val="24"/>
          <w:szCs w:val="24"/>
          <w:lang w:eastAsia="zh-CN"/>
        </w:rPr>
      </w:pPr>
      <w:r w:rsidRPr="00553B7B">
        <w:rPr>
          <w:sz w:val="24"/>
          <w:szCs w:val="24"/>
        </w:rPr>
        <w:t xml:space="preserve">There were no changes in composition of the Group for the </w:t>
      </w:r>
      <w:r w:rsidR="0095391B">
        <w:rPr>
          <w:sz w:val="24"/>
          <w:szCs w:val="24"/>
        </w:rPr>
        <w:t xml:space="preserve">current quarter including business combination, acquisition or disposal of subsidiaries and long term investments, restructuring and discontinuing operations. </w:t>
      </w:r>
      <w:r w:rsidRPr="00553B7B">
        <w:rPr>
          <w:sz w:val="24"/>
          <w:szCs w:val="24"/>
          <w:lang w:eastAsia="zh-CN"/>
        </w:rPr>
        <w:t xml:space="preserve"> </w:t>
      </w:r>
    </w:p>
    <w:p w:rsidR="00553B7B" w:rsidRDefault="00553B7B">
      <w:pPr>
        <w:tabs>
          <w:tab w:val="left" w:pos="270"/>
        </w:tabs>
        <w:ind w:left="720" w:hanging="810"/>
        <w:jc w:val="both"/>
        <w:rPr>
          <w:sz w:val="22"/>
          <w:szCs w:val="22"/>
        </w:rPr>
      </w:pPr>
    </w:p>
    <w:p w:rsidR="00F672AB" w:rsidRDefault="00B94461">
      <w:pPr>
        <w:pStyle w:val="Heading2"/>
        <w:tabs>
          <w:tab w:val="clear" w:pos="360"/>
          <w:tab w:val="left" w:pos="630"/>
          <w:tab w:val="left" w:pos="720"/>
        </w:tabs>
        <w:rPr>
          <w:sz w:val="22"/>
          <w:szCs w:val="22"/>
        </w:rPr>
      </w:pPr>
      <w:r>
        <w:rPr>
          <w:sz w:val="22"/>
          <w:szCs w:val="22"/>
        </w:rPr>
        <w:t>A1</w:t>
      </w:r>
      <w:r w:rsidR="00780F71">
        <w:rPr>
          <w:sz w:val="22"/>
          <w:szCs w:val="22"/>
        </w:rPr>
        <w:t>3</w:t>
      </w:r>
      <w:r w:rsidR="00F672AB">
        <w:rPr>
          <w:sz w:val="22"/>
          <w:szCs w:val="22"/>
        </w:rPr>
        <w:tab/>
        <w:t>Changes in Contingent Liabilities and Contingent Assets</w:t>
      </w:r>
    </w:p>
    <w:p w:rsidR="00F672AB" w:rsidRDefault="00F672AB" w:rsidP="00BD7976">
      <w:pPr>
        <w:ind w:left="720" w:hanging="720"/>
        <w:jc w:val="both"/>
        <w:rPr>
          <w:sz w:val="22"/>
          <w:szCs w:val="22"/>
        </w:rPr>
      </w:pPr>
      <w:r>
        <w:rPr>
          <w:sz w:val="22"/>
          <w:szCs w:val="22"/>
        </w:rPr>
        <w:t xml:space="preserve">            The</w:t>
      </w:r>
      <w:r w:rsidR="00124E43">
        <w:rPr>
          <w:sz w:val="22"/>
          <w:szCs w:val="22"/>
        </w:rPr>
        <w:t>re</w:t>
      </w:r>
      <w:r>
        <w:rPr>
          <w:sz w:val="22"/>
          <w:szCs w:val="22"/>
        </w:rPr>
        <w:t xml:space="preserve"> </w:t>
      </w:r>
      <w:r w:rsidR="00124E43">
        <w:rPr>
          <w:sz w:val="22"/>
          <w:szCs w:val="22"/>
        </w:rPr>
        <w:t>were no changes in other contingent liabilities or continge</w:t>
      </w:r>
      <w:r w:rsidR="001E33BB">
        <w:rPr>
          <w:sz w:val="22"/>
          <w:szCs w:val="22"/>
        </w:rPr>
        <w:t xml:space="preserve">nt assets since the last annual </w:t>
      </w:r>
      <w:r w:rsidR="00124E43">
        <w:rPr>
          <w:sz w:val="22"/>
          <w:szCs w:val="22"/>
        </w:rPr>
        <w:t>bala</w:t>
      </w:r>
      <w:r w:rsidR="0095391B">
        <w:rPr>
          <w:sz w:val="22"/>
          <w:szCs w:val="22"/>
        </w:rPr>
        <w:t>nce sheet as at 31 December 200</w:t>
      </w:r>
      <w:r w:rsidR="005F3FAD">
        <w:rPr>
          <w:sz w:val="22"/>
          <w:szCs w:val="22"/>
        </w:rPr>
        <w:t>9</w:t>
      </w:r>
      <w:r w:rsidR="00124E43">
        <w:rPr>
          <w:sz w:val="22"/>
          <w:szCs w:val="22"/>
        </w:rPr>
        <w:t>.</w:t>
      </w:r>
    </w:p>
    <w:p w:rsidR="00B77AFD" w:rsidRDefault="00B77AFD" w:rsidP="00BD7976">
      <w:pPr>
        <w:pStyle w:val="Heading2"/>
        <w:tabs>
          <w:tab w:val="left" w:pos="630"/>
          <w:tab w:val="left" w:pos="720"/>
          <w:tab w:val="left" w:pos="5310"/>
          <w:tab w:val="left" w:pos="7740"/>
        </w:tabs>
        <w:ind w:left="630" w:hanging="630"/>
        <w:jc w:val="both"/>
        <w:rPr>
          <w:sz w:val="22"/>
          <w:szCs w:val="22"/>
        </w:rPr>
      </w:pPr>
    </w:p>
    <w:p w:rsidR="00BD7976" w:rsidRPr="006641E3" w:rsidRDefault="00EC3C2D" w:rsidP="00BD7976">
      <w:pPr>
        <w:pStyle w:val="Heading2"/>
        <w:tabs>
          <w:tab w:val="left" w:pos="630"/>
          <w:tab w:val="left" w:pos="720"/>
          <w:tab w:val="left" w:pos="5310"/>
          <w:tab w:val="left" w:pos="7740"/>
        </w:tabs>
        <w:ind w:left="630" w:hanging="630"/>
        <w:jc w:val="both"/>
        <w:rPr>
          <w:sz w:val="24"/>
          <w:szCs w:val="24"/>
        </w:rPr>
      </w:pPr>
      <w:r w:rsidRPr="006641E3">
        <w:rPr>
          <w:sz w:val="24"/>
          <w:szCs w:val="24"/>
        </w:rPr>
        <w:t>A</w:t>
      </w:r>
      <w:r w:rsidR="0017395A" w:rsidRPr="006641E3">
        <w:rPr>
          <w:sz w:val="24"/>
          <w:szCs w:val="24"/>
        </w:rPr>
        <w:t>1</w:t>
      </w:r>
      <w:r w:rsidR="00780F71">
        <w:rPr>
          <w:sz w:val="24"/>
          <w:szCs w:val="24"/>
        </w:rPr>
        <w:t>4</w:t>
      </w:r>
      <w:r w:rsidR="0017395A" w:rsidRPr="006641E3">
        <w:rPr>
          <w:sz w:val="24"/>
          <w:szCs w:val="24"/>
        </w:rPr>
        <w:tab/>
        <w:t>Capital Commitments</w:t>
      </w:r>
      <w:r w:rsidR="0017395A" w:rsidRPr="006641E3">
        <w:rPr>
          <w:sz w:val="24"/>
          <w:szCs w:val="24"/>
        </w:rPr>
        <w:tab/>
      </w:r>
      <w:r w:rsidR="0017395A" w:rsidRPr="006641E3">
        <w:rPr>
          <w:sz w:val="24"/>
          <w:szCs w:val="24"/>
        </w:rPr>
        <w:tab/>
      </w:r>
      <w:r w:rsidR="0017395A" w:rsidRPr="006641E3">
        <w:rPr>
          <w:sz w:val="24"/>
          <w:szCs w:val="24"/>
        </w:rPr>
        <w:tab/>
      </w:r>
      <w:r w:rsidR="0017395A" w:rsidRPr="006641E3">
        <w:rPr>
          <w:sz w:val="24"/>
          <w:szCs w:val="24"/>
        </w:rPr>
        <w:tab/>
      </w:r>
    </w:p>
    <w:p w:rsidR="0017395A" w:rsidRPr="006641E3" w:rsidRDefault="00BD7976" w:rsidP="00BD7976">
      <w:pPr>
        <w:pStyle w:val="Heading2"/>
        <w:tabs>
          <w:tab w:val="left" w:pos="720"/>
          <w:tab w:val="left" w:pos="5310"/>
          <w:tab w:val="left" w:pos="7740"/>
        </w:tabs>
        <w:ind w:left="720" w:hanging="720"/>
        <w:jc w:val="both"/>
        <w:rPr>
          <w:b w:val="0"/>
          <w:sz w:val="24"/>
          <w:szCs w:val="24"/>
        </w:rPr>
      </w:pPr>
      <w:r w:rsidRPr="006641E3">
        <w:rPr>
          <w:sz w:val="24"/>
          <w:szCs w:val="24"/>
        </w:rPr>
        <w:t xml:space="preserve">           </w:t>
      </w:r>
      <w:r w:rsidR="0017395A" w:rsidRPr="006641E3">
        <w:rPr>
          <w:b w:val="0"/>
          <w:sz w:val="24"/>
          <w:szCs w:val="24"/>
        </w:rPr>
        <w:t>The</w:t>
      </w:r>
      <w:r w:rsidR="001B1227" w:rsidRPr="006641E3">
        <w:rPr>
          <w:b w:val="0"/>
          <w:sz w:val="24"/>
          <w:szCs w:val="24"/>
        </w:rPr>
        <w:t xml:space="preserve"> amount of commitments for the development cost </w:t>
      </w:r>
      <w:r w:rsidR="003654E8" w:rsidRPr="006641E3">
        <w:rPr>
          <w:b w:val="0"/>
          <w:sz w:val="24"/>
          <w:szCs w:val="24"/>
        </w:rPr>
        <w:t xml:space="preserve">for new area </w:t>
      </w:r>
      <w:r w:rsidR="001B1227" w:rsidRPr="006641E3">
        <w:rPr>
          <w:b w:val="0"/>
          <w:sz w:val="24"/>
          <w:szCs w:val="24"/>
        </w:rPr>
        <w:t>at Sungai Lembing Estate not provided for in the financial statements as at 3</w:t>
      </w:r>
      <w:r w:rsidR="00154FF1">
        <w:rPr>
          <w:b w:val="0"/>
          <w:sz w:val="24"/>
          <w:szCs w:val="24"/>
        </w:rPr>
        <w:t>1</w:t>
      </w:r>
      <w:r w:rsidR="001B1227" w:rsidRPr="006641E3">
        <w:rPr>
          <w:b w:val="0"/>
          <w:sz w:val="24"/>
          <w:szCs w:val="24"/>
        </w:rPr>
        <w:t xml:space="preserve"> </w:t>
      </w:r>
      <w:r w:rsidR="005F3FAD">
        <w:rPr>
          <w:b w:val="0"/>
          <w:sz w:val="24"/>
          <w:szCs w:val="24"/>
        </w:rPr>
        <w:t>March</w:t>
      </w:r>
      <w:r w:rsidR="009013CF">
        <w:rPr>
          <w:b w:val="0"/>
          <w:sz w:val="24"/>
          <w:szCs w:val="24"/>
        </w:rPr>
        <w:t xml:space="preserve"> </w:t>
      </w:r>
      <w:r w:rsidR="001B1227" w:rsidRPr="006641E3">
        <w:rPr>
          <w:b w:val="0"/>
          <w:sz w:val="24"/>
          <w:szCs w:val="24"/>
        </w:rPr>
        <w:t>20</w:t>
      </w:r>
      <w:r w:rsidR="005F3FAD">
        <w:rPr>
          <w:b w:val="0"/>
          <w:sz w:val="24"/>
          <w:szCs w:val="24"/>
        </w:rPr>
        <w:t>10</w:t>
      </w:r>
      <w:r w:rsidR="001B1227" w:rsidRPr="006641E3">
        <w:rPr>
          <w:b w:val="0"/>
          <w:sz w:val="24"/>
          <w:szCs w:val="24"/>
        </w:rPr>
        <w:t xml:space="preserve"> </w:t>
      </w:r>
      <w:r w:rsidR="006641E3" w:rsidRPr="006641E3">
        <w:rPr>
          <w:b w:val="0"/>
          <w:sz w:val="24"/>
          <w:szCs w:val="24"/>
        </w:rPr>
        <w:t>is as follows:</w:t>
      </w:r>
    </w:p>
    <w:p w:rsidR="006641E3" w:rsidRPr="006641E3" w:rsidRDefault="006641E3" w:rsidP="006641E3">
      <w:pPr>
        <w:rPr>
          <w:sz w:val="24"/>
          <w:szCs w:val="24"/>
        </w:rPr>
      </w:pPr>
    </w:p>
    <w:tbl>
      <w:tblPr>
        <w:tblW w:w="0" w:type="auto"/>
        <w:tblInd w:w="738" w:type="dxa"/>
        <w:tblLook w:val="01E0"/>
      </w:tblPr>
      <w:tblGrid>
        <w:gridCol w:w="6300"/>
        <w:gridCol w:w="1710"/>
      </w:tblGrid>
      <w:tr w:rsidR="006641E3" w:rsidRPr="00584F01" w:rsidTr="00584F01">
        <w:tc>
          <w:tcPr>
            <w:tcW w:w="6300" w:type="dxa"/>
          </w:tcPr>
          <w:p w:rsidR="006641E3" w:rsidRPr="00584F01" w:rsidRDefault="006641E3" w:rsidP="006641E3">
            <w:pPr>
              <w:rPr>
                <w:sz w:val="24"/>
                <w:szCs w:val="24"/>
              </w:rPr>
            </w:pPr>
            <w:r w:rsidRPr="00584F01">
              <w:rPr>
                <w:sz w:val="24"/>
                <w:szCs w:val="24"/>
              </w:rPr>
              <w:tab/>
            </w:r>
            <w:r w:rsidRPr="00584F01">
              <w:rPr>
                <w:sz w:val="24"/>
                <w:szCs w:val="24"/>
              </w:rPr>
              <w:tab/>
            </w:r>
            <w:r w:rsidRPr="00584F01">
              <w:rPr>
                <w:sz w:val="24"/>
                <w:szCs w:val="24"/>
              </w:rPr>
              <w:tab/>
            </w:r>
            <w:r w:rsidRPr="00584F01">
              <w:rPr>
                <w:sz w:val="24"/>
                <w:szCs w:val="24"/>
              </w:rPr>
              <w:tab/>
            </w:r>
            <w:r w:rsidRPr="00584F01">
              <w:rPr>
                <w:sz w:val="24"/>
                <w:szCs w:val="24"/>
              </w:rPr>
              <w:tab/>
            </w:r>
            <w:r w:rsidRPr="00584F01">
              <w:rPr>
                <w:sz w:val="24"/>
                <w:szCs w:val="24"/>
              </w:rPr>
              <w:tab/>
            </w:r>
            <w:r w:rsidRPr="00584F01">
              <w:rPr>
                <w:sz w:val="24"/>
                <w:szCs w:val="24"/>
              </w:rPr>
              <w:tab/>
            </w:r>
          </w:p>
        </w:tc>
        <w:tc>
          <w:tcPr>
            <w:tcW w:w="1710" w:type="dxa"/>
          </w:tcPr>
          <w:p w:rsidR="006641E3" w:rsidRPr="00584F01" w:rsidRDefault="006641E3" w:rsidP="00584F01">
            <w:pPr>
              <w:jc w:val="center"/>
              <w:rPr>
                <w:sz w:val="24"/>
                <w:szCs w:val="24"/>
              </w:rPr>
            </w:pPr>
            <w:r w:rsidRPr="00584F01">
              <w:rPr>
                <w:sz w:val="24"/>
                <w:szCs w:val="24"/>
              </w:rPr>
              <w:t>RM</w:t>
            </w:r>
          </w:p>
        </w:tc>
      </w:tr>
      <w:tr w:rsidR="006641E3" w:rsidRPr="00584F01" w:rsidTr="00584F01">
        <w:tc>
          <w:tcPr>
            <w:tcW w:w="6300" w:type="dxa"/>
          </w:tcPr>
          <w:p w:rsidR="006641E3" w:rsidRPr="00584F01" w:rsidRDefault="006641E3" w:rsidP="006641E3">
            <w:pPr>
              <w:rPr>
                <w:sz w:val="24"/>
                <w:szCs w:val="24"/>
              </w:rPr>
            </w:pPr>
            <w:r w:rsidRPr="00584F01">
              <w:rPr>
                <w:sz w:val="24"/>
                <w:szCs w:val="24"/>
              </w:rPr>
              <w:t>Approved and contracted for</w:t>
            </w:r>
          </w:p>
        </w:tc>
        <w:tc>
          <w:tcPr>
            <w:tcW w:w="1710" w:type="dxa"/>
            <w:tcBorders>
              <w:bottom w:val="double" w:sz="4" w:space="0" w:color="auto"/>
            </w:tcBorders>
          </w:tcPr>
          <w:p w:rsidR="006641E3" w:rsidRPr="004B18C2" w:rsidRDefault="006641E3" w:rsidP="00522998">
            <w:pPr>
              <w:rPr>
                <w:sz w:val="24"/>
                <w:szCs w:val="24"/>
              </w:rPr>
            </w:pPr>
            <w:r w:rsidRPr="00584F01">
              <w:rPr>
                <w:sz w:val="24"/>
                <w:szCs w:val="24"/>
              </w:rPr>
              <w:t xml:space="preserve">    </w:t>
            </w:r>
            <w:r w:rsidRPr="00154FF1">
              <w:rPr>
                <w:color w:val="FF0000"/>
                <w:sz w:val="24"/>
                <w:szCs w:val="24"/>
              </w:rPr>
              <w:t xml:space="preserve"> </w:t>
            </w:r>
            <w:r w:rsidR="00522998" w:rsidRPr="00522998">
              <w:rPr>
                <w:sz w:val="24"/>
                <w:szCs w:val="24"/>
              </w:rPr>
              <w:t>4</w:t>
            </w:r>
            <w:r w:rsidR="004B18C2" w:rsidRPr="00522998">
              <w:rPr>
                <w:sz w:val="24"/>
                <w:szCs w:val="24"/>
              </w:rPr>
              <w:t>,</w:t>
            </w:r>
            <w:r w:rsidR="00522998" w:rsidRPr="00522998">
              <w:rPr>
                <w:sz w:val="24"/>
                <w:szCs w:val="24"/>
              </w:rPr>
              <w:t>785</w:t>
            </w:r>
            <w:r w:rsidR="004B18C2" w:rsidRPr="004B18C2">
              <w:rPr>
                <w:sz w:val="24"/>
                <w:szCs w:val="24"/>
              </w:rPr>
              <w:t>,</w:t>
            </w:r>
            <w:r w:rsidR="00522998">
              <w:rPr>
                <w:sz w:val="24"/>
                <w:szCs w:val="24"/>
              </w:rPr>
              <w:t>424</w:t>
            </w:r>
          </w:p>
        </w:tc>
      </w:tr>
    </w:tbl>
    <w:p w:rsidR="006641E3" w:rsidRPr="006641E3" w:rsidRDefault="006641E3" w:rsidP="006641E3"/>
    <w:p w:rsidR="003654E8" w:rsidRDefault="003654E8">
      <w:pPr>
        <w:tabs>
          <w:tab w:val="left" w:pos="0"/>
          <w:tab w:val="left" w:pos="720"/>
        </w:tabs>
        <w:rPr>
          <w:b/>
          <w:sz w:val="22"/>
          <w:szCs w:val="22"/>
        </w:rPr>
      </w:pPr>
    </w:p>
    <w:p w:rsidR="00454131" w:rsidRDefault="00454131">
      <w:pPr>
        <w:tabs>
          <w:tab w:val="left" w:pos="0"/>
          <w:tab w:val="left" w:pos="720"/>
        </w:tabs>
        <w:rPr>
          <w:b/>
          <w:sz w:val="22"/>
          <w:szCs w:val="22"/>
        </w:rPr>
      </w:pPr>
    </w:p>
    <w:p w:rsidR="00865272" w:rsidRDefault="00865272">
      <w:pPr>
        <w:tabs>
          <w:tab w:val="left" w:pos="0"/>
          <w:tab w:val="left" w:pos="720"/>
        </w:tabs>
        <w:rPr>
          <w:b/>
          <w:sz w:val="22"/>
          <w:szCs w:val="22"/>
        </w:rPr>
      </w:pPr>
    </w:p>
    <w:p w:rsidR="00865272" w:rsidRDefault="00865272">
      <w:pPr>
        <w:tabs>
          <w:tab w:val="left" w:pos="0"/>
          <w:tab w:val="left" w:pos="720"/>
        </w:tabs>
        <w:rPr>
          <w:b/>
          <w:sz w:val="22"/>
          <w:szCs w:val="22"/>
        </w:rPr>
      </w:pPr>
    </w:p>
    <w:p w:rsidR="00A4430E" w:rsidRDefault="00A4430E">
      <w:pPr>
        <w:tabs>
          <w:tab w:val="left" w:pos="0"/>
          <w:tab w:val="left" w:pos="720"/>
        </w:tabs>
        <w:rPr>
          <w:b/>
          <w:sz w:val="22"/>
          <w:szCs w:val="22"/>
        </w:rPr>
      </w:pPr>
    </w:p>
    <w:p w:rsidR="00A4430E" w:rsidRDefault="00A4430E">
      <w:pPr>
        <w:tabs>
          <w:tab w:val="left" w:pos="0"/>
          <w:tab w:val="left" w:pos="720"/>
        </w:tabs>
        <w:rPr>
          <w:b/>
          <w:sz w:val="22"/>
          <w:szCs w:val="22"/>
        </w:rPr>
      </w:pPr>
    </w:p>
    <w:p w:rsidR="0031658E" w:rsidRDefault="0031658E">
      <w:pPr>
        <w:tabs>
          <w:tab w:val="left" w:pos="0"/>
          <w:tab w:val="left" w:pos="720"/>
        </w:tabs>
        <w:rPr>
          <w:b/>
          <w:sz w:val="22"/>
          <w:szCs w:val="22"/>
        </w:rPr>
      </w:pPr>
    </w:p>
    <w:p w:rsidR="009A3223" w:rsidRDefault="009A3223">
      <w:pPr>
        <w:tabs>
          <w:tab w:val="left" w:pos="0"/>
          <w:tab w:val="left" w:pos="720"/>
        </w:tabs>
        <w:rPr>
          <w:b/>
          <w:sz w:val="22"/>
          <w:szCs w:val="22"/>
        </w:rPr>
      </w:pPr>
    </w:p>
    <w:p w:rsidR="009A3223" w:rsidRDefault="009A3223">
      <w:pPr>
        <w:tabs>
          <w:tab w:val="left" w:pos="0"/>
          <w:tab w:val="left" w:pos="720"/>
        </w:tabs>
        <w:rPr>
          <w:b/>
          <w:sz w:val="22"/>
          <w:szCs w:val="22"/>
        </w:rPr>
      </w:pPr>
    </w:p>
    <w:p w:rsidR="0031658E" w:rsidRDefault="0031658E">
      <w:pPr>
        <w:tabs>
          <w:tab w:val="left" w:pos="0"/>
          <w:tab w:val="left" w:pos="720"/>
        </w:tabs>
        <w:rPr>
          <w:b/>
          <w:sz w:val="22"/>
          <w:szCs w:val="22"/>
        </w:rPr>
      </w:pPr>
    </w:p>
    <w:p w:rsidR="0031658E" w:rsidRDefault="0031658E">
      <w:pPr>
        <w:tabs>
          <w:tab w:val="left" w:pos="0"/>
          <w:tab w:val="left" w:pos="720"/>
        </w:tabs>
        <w:rPr>
          <w:b/>
          <w:sz w:val="22"/>
          <w:szCs w:val="22"/>
        </w:rPr>
      </w:pPr>
    </w:p>
    <w:p w:rsidR="00A4430E" w:rsidRDefault="00A4430E">
      <w:pPr>
        <w:tabs>
          <w:tab w:val="left" w:pos="0"/>
          <w:tab w:val="left" w:pos="720"/>
        </w:tabs>
        <w:rPr>
          <w:b/>
          <w:sz w:val="22"/>
          <w:szCs w:val="22"/>
        </w:rPr>
      </w:pPr>
    </w:p>
    <w:p w:rsidR="006C5790" w:rsidRDefault="006C5790">
      <w:pPr>
        <w:tabs>
          <w:tab w:val="left" w:pos="0"/>
          <w:tab w:val="left" w:pos="720"/>
        </w:tabs>
        <w:rPr>
          <w:b/>
          <w:sz w:val="22"/>
          <w:szCs w:val="22"/>
        </w:rPr>
      </w:pPr>
    </w:p>
    <w:p w:rsidR="00F672AB" w:rsidRDefault="00F672AB">
      <w:pPr>
        <w:tabs>
          <w:tab w:val="left" w:pos="0"/>
          <w:tab w:val="left" w:pos="720"/>
        </w:tabs>
        <w:rPr>
          <w:sz w:val="22"/>
          <w:szCs w:val="22"/>
        </w:rPr>
      </w:pPr>
      <w:r>
        <w:rPr>
          <w:b/>
          <w:sz w:val="22"/>
          <w:szCs w:val="22"/>
        </w:rPr>
        <w:lastRenderedPageBreak/>
        <w:t>B</w:t>
      </w:r>
      <w:r>
        <w:rPr>
          <w:sz w:val="22"/>
          <w:szCs w:val="22"/>
        </w:rPr>
        <w:t>.</w:t>
      </w:r>
      <w:r>
        <w:rPr>
          <w:sz w:val="22"/>
          <w:szCs w:val="22"/>
        </w:rPr>
        <w:tab/>
      </w:r>
      <w:smartTag w:uri="urn:schemas-microsoft-com:office:smarttags" w:element="place">
        <w:smartTag w:uri="urn:schemas-microsoft-com:office:smarttags" w:element="City">
          <w:r>
            <w:rPr>
              <w:b/>
              <w:sz w:val="22"/>
              <w:szCs w:val="22"/>
              <w:u w:val="single"/>
            </w:rPr>
            <w:t>Bursa</w:t>
          </w:r>
        </w:smartTag>
        <w:r>
          <w:rPr>
            <w:b/>
            <w:sz w:val="22"/>
            <w:szCs w:val="22"/>
            <w:u w:val="single"/>
          </w:rPr>
          <w:t xml:space="preserve"> </w:t>
        </w:r>
        <w:smartTag w:uri="urn:schemas-microsoft-com:office:smarttags" w:element="country-region">
          <w:r>
            <w:rPr>
              <w:b/>
              <w:sz w:val="22"/>
              <w:szCs w:val="22"/>
              <w:u w:val="single"/>
            </w:rPr>
            <w:t>Malaysia</w:t>
          </w:r>
        </w:smartTag>
      </w:smartTag>
      <w:r>
        <w:rPr>
          <w:b/>
          <w:sz w:val="22"/>
          <w:szCs w:val="22"/>
          <w:u w:val="single"/>
        </w:rPr>
        <w:t xml:space="preserve"> listing requirements (part A of Appendix 9B)</w:t>
      </w:r>
    </w:p>
    <w:p w:rsidR="00F672AB" w:rsidRDefault="00F672AB">
      <w:pPr>
        <w:rPr>
          <w:sz w:val="22"/>
          <w:szCs w:val="22"/>
        </w:rPr>
      </w:pPr>
    </w:p>
    <w:p w:rsidR="00F672AB" w:rsidRDefault="00F672AB">
      <w:pPr>
        <w:pStyle w:val="Heading3"/>
        <w:rPr>
          <w:sz w:val="22"/>
          <w:szCs w:val="22"/>
        </w:rPr>
      </w:pPr>
      <w:r>
        <w:rPr>
          <w:sz w:val="22"/>
          <w:szCs w:val="22"/>
        </w:rPr>
        <w:t xml:space="preserve"> B1</w:t>
      </w:r>
      <w:r>
        <w:rPr>
          <w:sz w:val="22"/>
          <w:szCs w:val="22"/>
        </w:rPr>
        <w:tab/>
        <w:t>Review of Performance</w:t>
      </w:r>
    </w:p>
    <w:p w:rsidR="004E5DB7" w:rsidRDefault="004E5DB7" w:rsidP="004E5DB7">
      <w:pPr>
        <w:ind w:left="720"/>
        <w:jc w:val="both"/>
        <w:rPr>
          <w:sz w:val="22"/>
          <w:szCs w:val="22"/>
        </w:rPr>
      </w:pPr>
      <w:r>
        <w:rPr>
          <w:sz w:val="22"/>
          <w:szCs w:val="22"/>
        </w:rPr>
        <w:t>The revenue for the financial period ended 31 March 2010 was lower at RM1.35 million compared to RM8.65 million for the corresponding period last year. The decrease in revenue for the period is due to decrease on sales of exclusive logging works and fellable timber.</w:t>
      </w:r>
    </w:p>
    <w:p w:rsidR="004E5DB7" w:rsidRDefault="004E5DB7" w:rsidP="004E5DB7">
      <w:pPr>
        <w:ind w:left="720"/>
        <w:jc w:val="both"/>
        <w:rPr>
          <w:sz w:val="22"/>
          <w:szCs w:val="22"/>
        </w:rPr>
      </w:pPr>
    </w:p>
    <w:p w:rsidR="004E5DB7" w:rsidRPr="00CB76A7" w:rsidRDefault="004E5DB7" w:rsidP="004E5DB7">
      <w:pPr>
        <w:pStyle w:val="BodyTextIndent3"/>
        <w:tabs>
          <w:tab w:val="clear" w:pos="360"/>
          <w:tab w:val="left" w:pos="720"/>
        </w:tabs>
        <w:rPr>
          <w:sz w:val="22"/>
          <w:szCs w:val="22"/>
        </w:rPr>
      </w:pPr>
      <w:r>
        <w:rPr>
          <w:sz w:val="22"/>
          <w:szCs w:val="22"/>
        </w:rPr>
        <w:t>The Group’s profits before taxation decreased to RM1.38 million loss</w:t>
      </w:r>
      <w:r w:rsidR="0017406A">
        <w:rPr>
          <w:sz w:val="22"/>
          <w:szCs w:val="22"/>
        </w:rPr>
        <w:t>es</w:t>
      </w:r>
      <w:r>
        <w:rPr>
          <w:sz w:val="22"/>
          <w:szCs w:val="22"/>
        </w:rPr>
        <w:t xml:space="preserve"> for the financial period as compared to RM5.43 million profits for the previous financial period. </w:t>
      </w:r>
      <w:r w:rsidRPr="00CB76A7">
        <w:rPr>
          <w:sz w:val="22"/>
          <w:szCs w:val="22"/>
        </w:rPr>
        <w:t>The</w:t>
      </w:r>
      <w:r>
        <w:rPr>
          <w:sz w:val="22"/>
          <w:szCs w:val="22"/>
        </w:rPr>
        <w:t xml:space="preserve"> substantial</w:t>
      </w:r>
      <w:r w:rsidRPr="00CB76A7">
        <w:rPr>
          <w:sz w:val="22"/>
          <w:szCs w:val="22"/>
        </w:rPr>
        <w:t xml:space="preserve"> </w:t>
      </w:r>
      <w:r>
        <w:rPr>
          <w:sz w:val="22"/>
          <w:szCs w:val="22"/>
        </w:rPr>
        <w:t>increase</w:t>
      </w:r>
      <w:r w:rsidRPr="00CB76A7">
        <w:rPr>
          <w:sz w:val="22"/>
          <w:szCs w:val="22"/>
        </w:rPr>
        <w:t xml:space="preserve"> of </w:t>
      </w:r>
      <w:r>
        <w:rPr>
          <w:sz w:val="22"/>
          <w:szCs w:val="22"/>
        </w:rPr>
        <w:t xml:space="preserve">profit </w:t>
      </w:r>
      <w:r w:rsidRPr="00CB76A7">
        <w:rPr>
          <w:sz w:val="22"/>
          <w:szCs w:val="22"/>
        </w:rPr>
        <w:t xml:space="preserve">in the </w:t>
      </w:r>
      <w:r w:rsidR="00ED6AE5">
        <w:rPr>
          <w:sz w:val="22"/>
          <w:szCs w:val="22"/>
        </w:rPr>
        <w:t>previous</w:t>
      </w:r>
      <w:r w:rsidRPr="00CB76A7">
        <w:rPr>
          <w:sz w:val="22"/>
          <w:szCs w:val="22"/>
        </w:rPr>
        <w:t xml:space="preserve"> period is</w:t>
      </w:r>
      <w:r>
        <w:rPr>
          <w:sz w:val="22"/>
          <w:szCs w:val="22"/>
        </w:rPr>
        <w:t xml:space="preserve"> due to increase on sales of exclusive logging works and fellable timber.</w:t>
      </w:r>
    </w:p>
    <w:p w:rsidR="006A5127" w:rsidRDefault="006A5127">
      <w:pPr>
        <w:pStyle w:val="BodyTextIndent3"/>
        <w:tabs>
          <w:tab w:val="clear" w:pos="360"/>
        </w:tabs>
        <w:rPr>
          <w:sz w:val="22"/>
          <w:szCs w:val="22"/>
        </w:rPr>
      </w:pPr>
    </w:p>
    <w:p w:rsidR="00F672AB" w:rsidRDefault="00F672AB">
      <w:pPr>
        <w:pStyle w:val="Heading2"/>
        <w:tabs>
          <w:tab w:val="clear" w:pos="360"/>
          <w:tab w:val="left" w:pos="720"/>
        </w:tabs>
        <w:rPr>
          <w:sz w:val="22"/>
          <w:szCs w:val="22"/>
        </w:rPr>
      </w:pPr>
      <w:r>
        <w:rPr>
          <w:sz w:val="22"/>
          <w:szCs w:val="22"/>
        </w:rPr>
        <w:t>B2</w:t>
      </w:r>
      <w:r>
        <w:rPr>
          <w:sz w:val="22"/>
          <w:szCs w:val="22"/>
        </w:rPr>
        <w:tab/>
        <w:t>Material Change in the Quarterly Results</w:t>
      </w:r>
    </w:p>
    <w:p w:rsidR="00F672AB" w:rsidRPr="00FA4499" w:rsidRDefault="000C066E">
      <w:pPr>
        <w:pStyle w:val="BodyTextIndent3"/>
        <w:tabs>
          <w:tab w:val="clear" w:pos="360"/>
          <w:tab w:val="left" w:pos="720"/>
        </w:tabs>
        <w:rPr>
          <w:sz w:val="22"/>
          <w:szCs w:val="22"/>
        </w:rPr>
      </w:pPr>
      <w:r w:rsidRPr="00FA4499">
        <w:rPr>
          <w:sz w:val="22"/>
          <w:szCs w:val="22"/>
        </w:rPr>
        <w:t>F</w:t>
      </w:r>
      <w:r w:rsidR="00F672AB" w:rsidRPr="00FA4499">
        <w:rPr>
          <w:sz w:val="22"/>
          <w:szCs w:val="22"/>
        </w:rPr>
        <w:t xml:space="preserve">or the quarter under review, the Group </w:t>
      </w:r>
      <w:r w:rsidR="00AE0CFE" w:rsidRPr="00FA4499">
        <w:rPr>
          <w:sz w:val="22"/>
          <w:szCs w:val="22"/>
        </w:rPr>
        <w:t xml:space="preserve">reported </w:t>
      </w:r>
      <w:r w:rsidR="00882EB4">
        <w:rPr>
          <w:sz w:val="22"/>
          <w:szCs w:val="22"/>
        </w:rPr>
        <w:t>profit</w:t>
      </w:r>
      <w:r w:rsidR="00E93B33" w:rsidRPr="00FA4499">
        <w:rPr>
          <w:sz w:val="22"/>
          <w:szCs w:val="22"/>
        </w:rPr>
        <w:t xml:space="preserve"> </w:t>
      </w:r>
      <w:r w:rsidR="00C7415D">
        <w:rPr>
          <w:sz w:val="22"/>
          <w:szCs w:val="22"/>
        </w:rPr>
        <w:t>before taxation</w:t>
      </w:r>
      <w:r w:rsidR="00F672AB" w:rsidRPr="00FA4499">
        <w:rPr>
          <w:sz w:val="22"/>
          <w:szCs w:val="22"/>
        </w:rPr>
        <w:t xml:space="preserve"> </w:t>
      </w:r>
      <w:r w:rsidR="0017406A">
        <w:rPr>
          <w:sz w:val="22"/>
          <w:szCs w:val="22"/>
        </w:rPr>
        <w:t>de</w:t>
      </w:r>
      <w:r w:rsidR="0091587F">
        <w:rPr>
          <w:sz w:val="22"/>
          <w:szCs w:val="22"/>
        </w:rPr>
        <w:t>creased</w:t>
      </w:r>
      <w:r w:rsidR="003B5285" w:rsidRPr="00FA4499">
        <w:rPr>
          <w:sz w:val="22"/>
          <w:szCs w:val="22"/>
        </w:rPr>
        <w:t xml:space="preserve"> to</w:t>
      </w:r>
      <w:r w:rsidR="00F672AB" w:rsidRPr="00FA4499">
        <w:rPr>
          <w:sz w:val="22"/>
          <w:szCs w:val="22"/>
        </w:rPr>
        <w:t xml:space="preserve"> RM</w:t>
      </w:r>
      <w:r w:rsidR="0017406A">
        <w:rPr>
          <w:sz w:val="22"/>
          <w:szCs w:val="22"/>
        </w:rPr>
        <w:t>1</w:t>
      </w:r>
      <w:r w:rsidR="003623E8">
        <w:rPr>
          <w:sz w:val="22"/>
          <w:szCs w:val="22"/>
        </w:rPr>
        <w:t>.</w:t>
      </w:r>
      <w:r w:rsidR="0017406A">
        <w:rPr>
          <w:sz w:val="22"/>
          <w:szCs w:val="22"/>
        </w:rPr>
        <w:t>38</w:t>
      </w:r>
      <w:r w:rsidR="0091587F">
        <w:rPr>
          <w:sz w:val="22"/>
          <w:szCs w:val="22"/>
        </w:rPr>
        <w:t xml:space="preserve"> </w:t>
      </w:r>
      <w:r w:rsidR="00F672AB" w:rsidRPr="00FA4499">
        <w:rPr>
          <w:sz w:val="22"/>
          <w:szCs w:val="22"/>
        </w:rPr>
        <w:t xml:space="preserve">million </w:t>
      </w:r>
      <w:r w:rsidR="0048183D">
        <w:rPr>
          <w:sz w:val="22"/>
          <w:szCs w:val="22"/>
        </w:rPr>
        <w:t xml:space="preserve">losses </w:t>
      </w:r>
      <w:r w:rsidRPr="00FA4499">
        <w:rPr>
          <w:sz w:val="22"/>
          <w:szCs w:val="22"/>
        </w:rPr>
        <w:t xml:space="preserve">compared to </w:t>
      </w:r>
      <w:r w:rsidR="00F672AB" w:rsidRPr="00FA4499">
        <w:rPr>
          <w:sz w:val="22"/>
          <w:szCs w:val="22"/>
        </w:rPr>
        <w:t>RM</w:t>
      </w:r>
      <w:r w:rsidR="0048183D">
        <w:rPr>
          <w:sz w:val="22"/>
          <w:szCs w:val="22"/>
        </w:rPr>
        <w:t>2</w:t>
      </w:r>
      <w:r w:rsidR="000917CA">
        <w:rPr>
          <w:sz w:val="22"/>
          <w:szCs w:val="22"/>
        </w:rPr>
        <w:t>.</w:t>
      </w:r>
      <w:r w:rsidR="0048183D">
        <w:rPr>
          <w:sz w:val="22"/>
          <w:szCs w:val="22"/>
        </w:rPr>
        <w:t>06</w:t>
      </w:r>
      <w:r w:rsidR="003B5285" w:rsidRPr="00FA4499">
        <w:rPr>
          <w:sz w:val="22"/>
          <w:szCs w:val="22"/>
        </w:rPr>
        <w:t xml:space="preserve"> million</w:t>
      </w:r>
      <w:r w:rsidR="0047631B">
        <w:rPr>
          <w:sz w:val="22"/>
          <w:szCs w:val="22"/>
        </w:rPr>
        <w:t xml:space="preserve"> </w:t>
      </w:r>
      <w:r w:rsidR="0048183D">
        <w:rPr>
          <w:sz w:val="22"/>
          <w:szCs w:val="22"/>
        </w:rPr>
        <w:t>profits</w:t>
      </w:r>
      <w:r w:rsidR="00A07906">
        <w:rPr>
          <w:sz w:val="22"/>
          <w:szCs w:val="22"/>
        </w:rPr>
        <w:t xml:space="preserve"> </w:t>
      </w:r>
      <w:r w:rsidR="00F672AB" w:rsidRPr="00FA4499">
        <w:rPr>
          <w:sz w:val="22"/>
          <w:szCs w:val="22"/>
        </w:rPr>
        <w:t>f</w:t>
      </w:r>
      <w:r w:rsidR="00584786">
        <w:rPr>
          <w:sz w:val="22"/>
          <w:szCs w:val="22"/>
        </w:rPr>
        <w:t>or</w:t>
      </w:r>
      <w:r w:rsidR="00F672AB" w:rsidRPr="00FA4499">
        <w:rPr>
          <w:sz w:val="22"/>
          <w:szCs w:val="22"/>
        </w:rPr>
        <w:t xml:space="preserve"> the previous quarter.</w:t>
      </w:r>
      <w:r w:rsidR="00F33EBA">
        <w:rPr>
          <w:sz w:val="22"/>
          <w:szCs w:val="22"/>
        </w:rPr>
        <w:t xml:space="preserve"> </w:t>
      </w:r>
      <w:r w:rsidR="00F672AB" w:rsidRPr="00FA4499">
        <w:rPr>
          <w:sz w:val="22"/>
          <w:szCs w:val="22"/>
        </w:rPr>
        <w:t>The</w:t>
      </w:r>
      <w:r w:rsidR="00A4430E">
        <w:rPr>
          <w:sz w:val="22"/>
          <w:szCs w:val="22"/>
        </w:rPr>
        <w:t xml:space="preserve"> </w:t>
      </w:r>
      <w:r w:rsidR="00DE0B9B">
        <w:rPr>
          <w:sz w:val="22"/>
          <w:szCs w:val="22"/>
        </w:rPr>
        <w:t>in</w:t>
      </w:r>
      <w:r w:rsidR="003F73A4">
        <w:rPr>
          <w:sz w:val="22"/>
          <w:szCs w:val="22"/>
        </w:rPr>
        <w:t>crease</w:t>
      </w:r>
      <w:r w:rsidR="005B61AA" w:rsidRPr="00FA4499">
        <w:rPr>
          <w:sz w:val="22"/>
          <w:szCs w:val="22"/>
        </w:rPr>
        <w:t xml:space="preserve"> </w:t>
      </w:r>
      <w:r w:rsidR="00A4430E">
        <w:rPr>
          <w:sz w:val="22"/>
          <w:szCs w:val="22"/>
        </w:rPr>
        <w:t>of</w:t>
      </w:r>
      <w:r w:rsidR="005B61AA" w:rsidRPr="00FA4499">
        <w:rPr>
          <w:sz w:val="22"/>
          <w:szCs w:val="22"/>
        </w:rPr>
        <w:t xml:space="preserve"> </w:t>
      </w:r>
      <w:r w:rsidR="003F73A4">
        <w:rPr>
          <w:sz w:val="22"/>
          <w:szCs w:val="22"/>
        </w:rPr>
        <w:t>profit</w:t>
      </w:r>
      <w:r w:rsidR="003249EB">
        <w:rPr>
          <w:sz w:val="22"/>
          <w:szCs w:val="22"/>
        </w:rPr>
        <w:t xml:space="preserve"> </w:t>
      </w:r>
      <w:r w:rsidR="00454131">
        <w:rPr>
          <w:sz w:val="22"/>
          <w:szCs w:val="22"/>
        </w:rPr>
        <w:t>during</w:t>
      </w:r>
      <w:r w:rsidR="003249EB">
        <w:rPr>
          <w:sz w:val="22"/>
          <w:szCs w:val="22"/>
        </w:rPr>
        <w:t xml:space="preserve"> </w:t>
      </w:r>
      <w:r w:rsidR="00847908">
        <w:rPr>
          <w:sz w:val="22"/>
          <w:szCs w:val="22"/>
        </w:rPr>
        <w:t>the</w:t>
      </w:r>
      <w:r w:rsidR="00DE0B9B">
        <w:rPr>
          <w:sz w:val="22"/>
          <w:szCs w:val="22"/>
        </w:rPr>
        <w:t xml:space="preserve"> </w:t>
      </w:r>
      <w:r w:rsidR="00365D3F">
        <w:rPr>
          <w:sz w:val="22"/>
          <w:szCs w:val="22"/>
        </w:rPr>
        <w:t>previous</w:t>
      </w:r>
      <w:r w:rsidR="00B84D60">
        <w:rPr>
          <w:sz w:val="22"/>
          <w:szCs w:val="22"/>
        </w:rPr>
        <w:t xml:space="preserve"> </w:t>
      </w:r>
      <w:r w:rsidR="005B61AA" w:rsidRPr="00FA4499">
        <w:rPr>
          <w:sz w:val="22"/>
          <w:szCs w:val="22"/>
        </w:rPr>
        <w:t>quarter</w:t>
      </w:r>
      <w:r w:rsidR="00A4430E">
        <w:rPr>
          <w:sz w:val="22"/>
          <w:szCs w:val="22"/>
        </w:rPr>
        <w:t xml:space="preserve"> is</w:t>
      </w:r>
      <w:r w:rsidR="005B61AA" w:rsidRPr="00FA4499">
        <w:rPr>
          <w:sz w:val="22"/>
          <w:szCs w:val="22"/>
        </w:rPr>
        <w:t xml:space="preserve"> mainly</w:t>
      </w:r>
      <w:r w:rsidR="00E44287">
        <w:rPr>
          <w:sz w:val="22"/>
          <w:szCs w:val="22"/>
        </w:rPr>
        <w:t xml:space="preserve"> due</w:t>
      </w:r>
      <w:r w:rsidR="005B61AA" w:rsidRPr="00FA4499">
        <w:rPr>
          <w:sz w:val="22"/>
          <w:szCs w:val="22"/>
        </w:rPr>
        <w:t xml:space="preserve"> </w:t>
      </w:r>
      <w:r w:rsidR="00EA0DD3">
        <w:rPr>
          <w:sz w:val="22"/>
          <w:szCs w:val="22"/>
        </w:rPr>
        <w:t>to</w:t>
      </w:r>
      <w:r w:rsidR="009C714B">
        <w:rPr>
          <w:sz w:val="22"/>
          <w:szCs w:val="22"/>
        </w:rPr>
        <w:t xml:space="preserve"> realization of</w:t>
      </w:r>
      <w:r w:rsidR="00A21590">
        <w:rPr>
          <w:sz w:val="22"/>
          <w:szCs w:val="22"/>
        </w:rPr>
        <w:t xml:space="preserve"> </w:t>
      </w:r>
      <w:r w:rsidR="00882EB4">
        <w:rPr>
          <w:sz w:val="22"/>
          <w:szCs w:val="22"/>
        </w:rPr>
        <w:t>gain on disposal of Indera Mahkota Land</w:t>
      </w:r>
      <w:r w:rsidR="00247EB2" w:rsidRPr="00FA4499">
        <w:rPr>
          <w:sz w:val="22"/>
          <w:szCs w:val="22"/>
        </w:rPr>
        <w:t>.</w:t>
      </w:r>
    </w:p>
    <w:p w:rsidR="00686D6A" w:rsidRDefault="00686D6A">
      <w:pPr>
        <w:tabs>
          <w:tab w:val="left" w:pos="720"/>
        </w:tabs>
        <w:rPr>
          <w:sz w:val="22"/>
          <w:szCs w:val="22"/>
        </w:rPr>
      </w:pPr>
    </w:p>
    <w:p w:rsidR="00F672AB" w:rsidRDefault="00F672AB">
      <w:pPr>
        <w:pStyle w:val="Heading2"/>
        <w:tabs>
          <w:tab w:val="clear" w:pos="360"/>
          <w:tab w:val="left" w:pos="720"/>
        </w:tabs>
        <w:rPr>
          <w:sz w:val="22"/>
          <w:szCs w:val="22"/>
        </w:rPr>
      </w:pPr>
      <w:r>
        <w:rPr>
          <w:sz w:val="22"/>
          <w:szCs w:val="22"/>
        </w:rPr>
        <w:t>B3</w:t>
      </w:r>
      <w:r>
        <w:rPr>
          <w:sz w:val="22"/>
          <w:szCs w:val="22"/>
        </w:rPr>
        <w:tab/>
        <w:t>Current Year Prospects</w:t>
      </w:r>
    </w:p>
    <w:p w:rsidR="008335E4" w:rsidRDefault="0081185C" w:rsidP="00406BBB">
      <w:pPr>
        <w:pStyle w:val="BodyTextIndent3"/>
        <w:tabs>
          <w:tab w:val="clear" w:pos="360"/>
          <w:tab w:val="left" w:pos="720"/>
        </w:tabs>
        <w:ind w:hanging="720"/>
        <w:rPr>
          <w:sz w:val="22"/>
          <w:szCs w:val="22"/>
        </w:rPr>
      </w:pPr>
      <w:r>
        <w:rPr>
          <w:sz w:val="22"/>
          <w:szCs w:val="22"/>
        </w:rPr>
        <w:tab/>
      </w:r>
      <w:r w:rsidR="004336DF">
        <w:rPr>
          <w:sz w:val="22"/>
          <w:szCs w:val="22"/>
        </w:rPr>
        <w:t>The C</w:t>
      </w:r>
      <w:r w:rsidR="00810D09">
        <w:rPr>
          <w:sz w:val="22"/>
          <w:szCs w:val="22"/>
        </w:rPr>
        <w:t>ompany expected the contribution from the plantation sector woul</w:t>
      </w:r>
      <w:r w:rsidR="006E1816">
        <w:rPr>
          <w:sz w:val="22"/>
          <w:szCs w:val="22"/>
        </w:rPr>
        <w:t xml:space="preserve">d </w:t>
      </w:r>
      <w:r w:rsidR="009C714B">
        <w:rPr>
          <w:sz w:val="22"/>
          <w:szCs w:val="22"/>
        </w:rPr>
        <w:t>increase</w:t>
      </w:r>
      <w:r w:rsidR="00EE6428">
        <w:rPr>
          <w:sz w:val="22"/>
          <w:szCs w:val="22"/>
        </w:rPr>
        <w:t xml:space="preserve"> marginally due to raising in the CPO prices</w:t>
      </w:r>
      <w:r w:rsidR="00810D09">
        <w:rPr>
          <w:sz w:val="22"/>
          <w:szCs w:val="22"/>
        </w:rPr>
        <w:t>.</w:t>
      </w:r>
      <w:r w:rsidR="00EE6428">
        <w:rPr>
          <w:sz w:val="22"/>
          <w:szCs w:val="22"/>
        </w:rPr>
        <w:t xml:space="preserve"> </w:t>
      </w:r>
      <w:r w:rsidR="00810D09">
        <w:rPr>
          <w:sz w:val="22"/>
          <w:szCs w:val="22"/>
        </w:rPr>
        <w:t xml:space="preserve">The plywood manufacturing operation </w:t>
      </w:r>
      <w:r w:rsidR="00844E90">
        <w:rPr>
          <w:sz w:val="22"/>
          <w:szCs w:val="22"/>
        </w:rPr>
        <w:t xml:space="preserve">has been </w:t>
      </w:r>
      <w:r w:rsidR="00401556">
        <w:rPr>
          <w:sz w:val="22"/>
          <w:szCs w:val="22"/>
        </w:rPr>
        <w:t>suspended due to escalating increase in cost</w:t>
      </w:r>
      <w:r w:rsidR="00810D09">
        <w:rPr>
          <w:sz w:val="22"/>
          <w:szCs w:val="22"/>
        </w:rPr>
        <w:t>.</w:t>
      </w:r>
      <w:r w:rsidR="00DA53CE">
        <w:rPr>
          <w:sz w:val="22"/>
          <w:szCs w:val="22"/>
        </w:rPr>
        <w:t xml:space="preserve"> The Company expects</w:t>
      </w:r>
      <w:r w:rsidR="00CB76A7">
        <w:rPr>
          <w:sz w:val="22"/>
          <w:szCs w:val="22"/>
        </w:rPr>
        <w:t xml:space="preserve"> the revenue from mining activities – iron ore will further improve the group</w:t>
      </w:r>
      <w:r w:rsidR="00DD2318">
        <w:rPr>
          <w:sz w:val="22"/>
          <w:szCs w:val="22"/>
        </w:rPr>
        <w:t>’</w:t>
      </w:r>
      <w:r w:rsidR="00CB76A7">
        <w:rPr>
          <w:sz w:val="22"/>
          <w:szCs w:val="22"/>
        </w:rPr>
        <w:t>s earning.</w:t>
      </w:r>
      <w:r w:rsidR="00810D09">
        <w:rPr>
          <w:sz w:val="22"/>
          <w:szCs w:val="22"/>
        </w:rPr>
        <w:t xml:space="preserve"> </w:t>
      </w:r>
    </w:p>
    <w:p w:rsidR="00806FAE" w:rsidRDefault="00806FAE" w:rsidP="00406BBB">
      <w:pPr>
        <w:pStyle w:val="BodyTextIndent3"/>
        <w:tabs>
          <w:tab w:val="clear" w:pos="360"/>
          <w:tab w:val="left" w:pos="720"/>
        </w:tabs>
        <w:ind w:hanging="720"/>
        <w:rPr>
          <w:sz w:val="22"/>
          <w:szCs w:val="22"/>
        </w:rPr>
      </w:pPr>
    </w:p>
    <w:p w:rsidR="00806FAE" w:rsidRDefault="00806FAE" w:rsidP="00406BBB">
      <w:pPr>
        <w:pStyle w:val="BodyTextIndent3"/>
        <w:tabs>
          <w:tab w:val="clear" w:pos="360"/>
          <w:tab w:val="left" w:pos="720"/>
        </w:tabs>
        <w:ind w:hanging="720"/>
        <w:rPr>
          <w:sz w:val="22"/>
          <w:szCs w:val="22"/>
        </w:rPr>
      </w:pPr>
      <w:r>
        <w:rPr>
          <w:sz w:val="22"/>
          <w:szCs w:val="22"/>
        </w:rPr>
        <w:tab/>
        <w:t>Barring any unforeseen circumstances, the Board of Directors is of the view that the Group will record favourable performance for the financial year ending 31 December 20</w:t>
      </w:r>
      <w:r w:rsidR="00D4679A">
        <w:rPr>
          <w:sz w:val="22"/>
          <w:szCs w:val="22"/>
        </w:rPr>
        <w:t>10</w:t>
      </w:r>
      <w:r>
        <w:rPr>
          <w:sz w:val="22"/>
          <w:szCs w:val="22"/>
        </w:rPr>
        <w:t>.</w:t>
      </w:r>
    </w:p>
    <w:p w:rsidR="000C5C8D" w:rsidRDefault="000C5C8D" w:rsidP="000C5C8D">
      <w:pPr>
        <w:pStyle w:val="BodyTextIndent3"/>
        <w:tabs>
          <w:tab w:val="clear" w:pos="360"/>
          <w:tab w:val="left" w:pos="720"/>
        </w:tabs>
        <w:ind w:left="0"/>
        <w:rPr>
          <w:sz w:val="22"/>
          <w:szCs w:val="22"/>
        </w:rPr>
      </w:pPr>
      <w:r>
        <w:rPr>
          <w:sz w:val="22"/>
          <w:szCs w:val="22"/>
        </w:rPr>
        <w:tab/>
      </w:r>
    </w:p>
    <w:p w:rsidR="00F672AB" w:rsidRDefault="00F672AB">
      <w:pPr>
        <w:pStyle w:val="Heading2"/>
        <w:tabs>
          <w:tab w:val="clear" w:pos="360"/>
          <w:tab w:val="left" w:pos="720"/>
        </w:tabs>
        <w:rPr>
          <w:sz w:val="22"/>
          <w:szCs w:val="22"/>
        </w:rPr>
      </w:pPr>
      <w:r>
        <w:rPr>
          <w:sz w:val="22"/>
          <w:szCs w:val="22"/>
        </w:rPr>
        <w:t>B4</w:t>
      </w:r>
      <w:r>
        <w:rPr>
          <w:sz w:val="22"/>
          <w:szCs w:val="22"/>
        </w:rPr>
        <w:tab/>
        <w:t>Variance from Profit Forecast/Profit Guarantee</w:t>
      </w:r>
    </w:p>
    <w:p w:rsidR="00F672AB" w:rsidRDefault="00F672AB">
      <w:pPr>
        <w:tabs>
          <w:tab w:val="left" w:pos="720"/>
        </w:tabs>
        <w:rPr>
          <w:sz w:val="22"/>
          <w:szCs w:val="22"/>
        </w:rPr>
      </w:pPr>
      <w:r>
        <w:rPr>
          <w:sz w:val="22"/>
          <w:szCs w:val="22"/>
        </w:rPr>
        <w:tab/>
        <w:t>Not applicable in this quarterly report.</w:t>
      </w:r>
    </w:p>
    <w:p w:rsidR="008E1136" w:rsidRDefault="008E1136">
      <w:pPr>
        <w:tabs>
          <w:tab w:val="left" w:pos="720"/>
        </w:tabs>
        <w:rPr>
          <w:b/>
          <w:sz w:val="22"/>
          <w:szCs w:val="22"/>
        </w:rPr>
      </w:pPr>
    </w:p>
    <w:p w:rsidR="00C959F6" w:rsidRDefault="00C959F6" w:rsidP="00C959F6">
      <w:pPr>
        <w:tabs>
          <w:tab w:val="left" w:pos="720"/>
        </w:tabs>
        <w:rPr>
          <w:sz w:val="22"/>
          <w:szCs w:val="22"/>
        </w:rPr>
      </w:pPr>
      <w:r w:rsidRPr="00C959F6">
        <w:rPr>
          <w:b/>
          <w:sz w:val="22"/>
          <w:szCs w:val="22"/>
        </w:rPr>
        <w:t>B5</w:t>
      </w:r>
      <w:r>
        <w:rPr>
          <w:sz w:val="22"/>
          <w:szCs w:val="22"/>
        </w:rPr>
        <w:tab/>
      </w:r>
      <w:r>
        <w:rPr>
          <w:b/>
          <w:sz w:val="22"/>
          <w:szCs w:val="22"/>
        </w:rPr>
        <w:t>Taxation</w:t>
      </w:r>
    </w:p>
    <w:p w:rsidR="00DD3B21" w:rsidRDefault="00422354" w:rsidP="00DD3B21">
      <w:pPr>
        <w:pStyle w:val="BodyTextIndent3"/>
        <w:tabs>
          <w:tab w:val="clear" w:pos="360"/>
          <w:tab w:val="left" w:pos="720"/>
          <w:tab w:val="left" w:pos="1785"/>
        </w:tabs>
        <w:rPr>
          <w:sz w:val="22"/>
          <w:szCs w:val="22"/>
        </w:rPr>
      </w:pPr>
      <w:r>
        <w:rPr>
          <w:sz w:val="22"/>
          <w:szCs w:val="22"/>
        </w:rPr>
        <w:t>No taxation provided for the period due to loss incurred in the current quarter and there are sufficient brought forward tax losses to set off against the future profits.</w:t>
      </w:r>
      <w:r w:rsidR="00DD3B21">
        <w:rPr>
          <w:sz w:val="22"/>
          <w:szCs w:val="22"/>
        </w:rPr>
        <w:t xml:space="preserve">           </w:t>
      </w:r>
      <w:r w:rsidR="00DD3B21">
        <w:rPr>
          <w:sz w:val="22"/>
          <w:szCs w:val="22"/>
        </w:rPr>
        <w:tab/>
      </w:r>
    </w:p>
    <w:p w:rsidR="00C959F6" w:rsidRDefault="00C959F6">
      <w:pPr>
        <w:pStyle w:val="Heading2"/>
        <w:tabs>
          <w:tab w:val="clear" w:pos="360"/>
          <w:tab w:val="left" w:pos="720"/>
        </w:tabs>
        <w:rPr>
          <w:sz w:val="22"/>
          <w:szCs w:val="22"/>
        </w:rPr>
      </w:pPr>
    </w:p>
    <w:p w:rsidR="00F672AB" w:rsidRDefault="00F672AB">
      <w:pPr>
        <w:pStyle w:val="Heading2"/>
        <w:tabs>
          <w:tab w:val="clear" w:pos="360"/>
          <w:tab w:val="left" w:pos="720"/>
        </w:tabs>
        <w:rPr>
          <w:sz w:val="22"/>
          <w:szCs w:val="22"/>
        </w:rPr>
      </w:pPr>
      <w:r>
        <w:rPr>
          <w:sz w:val="22"/>
          <w:szCs w:val="22"/>
        </w:rPr>
        <w:t>B6</w:t>
      </w:r>
      <w:r>
        <w:rPr>
          <w:sz w:val="22"/>
          <w:szCs w:val="22"/>
        </w:rPr>
        <w:tab/>
        <w:t>Profit/Loss on sale of investments and / or properties</w:t>
      </w:r>
    </w:p>
    <w:p w:rsidR="00F672AB" w:rsidRDefault="00F672AB" w:rsidP="00BB4DA6">
      <w:pPr>
        <w:tabs>
          <w:tab w:val="left" w:pos="720"/>
        </w:tabs>
        <w:ind w:left="720"/>
        <w:jc w:val="both"/>
        <w:rPr>
          <w:sz w:val="22"/>
          <w:szCs w:val="22"/>
        </w:rPr>
      </w:pPr>
      <w:r>
        <w:rPr>
          <w:sz w:val="22"/>
          <w:szCs w:val="22"/>
        </w:rPr>
        <w:t>Th</w:t>
      </w:r>
      <w:r w:rsidR="00E15CDD">
        <w:rPr>
          <w:sz w:val="22"/>
          <w:szCs w:val="22"/>
        </w:rPr>
        <w:t>ere were no profits or losses on sales of investments and / or properties for the current financial period</w:t>
      </w:r>
      <w:r>
        <w:rPr>
          <w:sz w:val="22"/>
          <w:szCs w:val="22"/>
        </w:rPr>
        <w:t>.</w:t>
      </w:r>
    </w:p>
    <w:p w:rsidR="00FB7B36" w:rsidRDefault="00FB7B36" w:rsidP="00FB7B36">
      <w:pPr>
        <w:pStyle w:val="Heading2"/>
        <w:tabs>
          <w:tab w:val="clear" w:pos="360"/>
          <w:tab w:val="left" w:pos="720"/>
        </w:tabs>
        <w:rPr>
          <w:sz w:val="22"/>
          <w:szCs w:val="22"/>
        </w:rPr>
      </w:pPr>
    </w:p>
    <w:p w:rsidR="00FB7B36" w:rsidRDefault="00FB7B36" w:rsidP="00FB7B36">
      <w:pPr>
        <w:pStyle w:val="Heading2"/>
        <w:tabs>
          <w:tab w:val="clear" w:pos="360"/>
          <w:tab w:val="left" w:pos="720"/>
        </w:tabs>
        <w:rPr>
          <w:sz w:val="22"/>
          <w:szCs w:val="22"/>
        </w:rPr>
      </w:pPr>
      <w:r>
        <w:rPr>
          <w:sz w:val="22"/>
          <w:szCs w:val="22"/>
        </w:rPr>
        <w:t>B7</w:t>
      </w:r>
      <w:r>
        <w:rPr>
          <w:sz w:val="22"/>
          <w:szCs w:val="22"/>
        </w:rPr>
        <w:tab/>
        <w:t>Particulars of purchase or disposal quoted securities</w:t>
      </w:r>
    </w:p>
    <w:p w:rsidR="00FB7B36" w:rsidRDefault="00FB7B36" w:rsidP="00FB7B36">
      <w:pPr>
        <w:tabs>
          <w:tab w:val="left" w:pos="720"/>
        </w:tabs>
        <w:rPr>
          <w:sz w:val="22"/>
          <w:szCs w:val="22"/>
        </w:rPr>
      </w:pPr>
      <w:r>
        <w:rPr>
          <w:sz w:val="22"/>
          <w:szCs w:val="22"/>
        </w:rPr>
        <w:tab/>
        <w:t>There was no purchase or disposal of quoted securities of the group for the financial period.</w:t>
      </w:r>
    </w:p>
    <w:p w:rsidR="00E245EC" w:rsidRDefault="00E245EC">
      <w:pPr>
        <w:pStyle w:val="Heading2"/>
        <w:tabs>
          <w:tab w:val="clear" w:pos="360"/>
          <w:tab w:val="left" w:pos="720"/>
        </w:tabs>
        <w:rPr>
          <w:sz w:val="22"/>
          <w:szCs w:val="22"/>
        </w:rPr>
        <w:sectPr w:rsidR="00E245EC" w:rsidSect="004A6C4D">
          <w:footerReference w:type="default" r:id="rId8"/>
          <w:pgSz w:w="12240" w:h="15840"/>
          <w:pgMar w:top="720" w:right="1440" w:bottom="720" w:left="1440" w:header="720" w:footer="720" w:gutter="0"/>
          <w:cols w:space="720"/>
        </w:sectPr>
      </w:pPr>
    </w:p>
    <w:p w:rsidR="000A5F71" w:rsidRDefault="000A5F71">
      <w:pPr>
        <w:pStyle w:val="Heading2"/>
        <w:tabs>
          <w:tab w:val="clear" w:pos="360"/>
          <w:tab w:val="left" w:pos="720"/>
        </w:tabs>
        <w:rPr>
          <w:sz w:val="22"/>
          <w:szCs w:val="22"/>
        </w:rPr>
      </w:pPr>
    </w:p>
    <w:p w:rsidR="00422354" w:rsidRDefault="00422354" w:rsidP="00422354"/>
    <w:p w:rsidR="00422354" w:rsidRDefault="00422354" w:rsidP="00422354"/>
    <w:p w:rsidR="00422354" w:rsidRDefault="00422354" w:rsidP="00422354"/>
    <w:p w:rsidR="00422354" w:rsidRDefault="00422354" w:rsidP="00422354"/>
    <w:p w:rsidR="00422354" w:rsidRDefault="00422354" w:rsidP="00422354"/>
    <w:p w:rsidR="00422354" w:rsidRDefault="00422354" w:rsidP="00422354"/>
    <w:p w:rsidR="00422354" w:rsidRDefault="00422354" w:rsidP="00422354"/>
    <w:p w:rsidR="00422354" w:rsidRDefault="00422354" w:rsidP="00422354"/>
    <w:p w:rsidR="00422354" w:rsidRDefault="00422354" w:rsidP="00422354"/>
    <w:p w:rsidR="00422354" w:rsidRDefault="00422354" w:rsidP="00422354"/>
    <w:p w:rsidR="00422354" w:rsidRPr="00422354" w:rsidRDefault="00422354" w:rsidP="00422354"/>
    <w:p w:rsidR="006F7F42" w:rsidRDefault="006F7F42" w:rsidP="000A5F71"/>
    <w:p w:rsidR="00844E90" w:rsidRDefault="00844E90" w:rsidP="000A5F71"/>
    <w:p w:rsidR="002402B4" w:rsidRDefault="002402B4" w:rsidP="000A5F71"/>
    <w:p w:rsidR="00F672AB" w:rsidRDefault="00F672AB">
      <w:pPr>
        <w:pStyle w:val="Heading2"/>
        <w:tabs>
          <w:tab w:val="clear" w:pos="360"/>
          <w:tab w:val="left" w:pos="720"/>
        </w:tabs>
        <w:rPr>
          <w:sz w:val="22"/>
          <w:szCs w:val="22"/>
        </w:rPr>
      </w:pPr>
      <w:r>
        <w:rPr>
          <w:sz w:val="22"/>
          <w:szCs w:val="22"/>
        </w:rPr>
        <w:lastRenderedPageBreak/>
        <w:t>B8</w:t>
      </w:r>
      <w:r>
        <w:rPr>
          <w:sz w:val="22"/>
          <w:szCs w:val="22"/>
        </w:rPr>
        <w:tab/>
        <w:t>Status of the Corporate Proposals</w:t>
      </w:r>
    </w:p>
    <w:p w:rsidR="00023615" w:rsidRDefault="00721204" w:rsidP="00023615">
      <w:pPr>
        <w:pStyle w:val="BodyTextIndent3"/>
        <w:tabs>
          <w:tab w:val="clear" w:pos="360"/>
          <w:tab w:val="left" w:pos="720"/>
        </w:tabs>
        <w:rPr>
          <w:sz w:val="22"/>
          <w:szCs w:val="22"/>
        </w:rPr>
      </w:pPr>
      <w:r>
        <w:rPr>
          <w:sz w:val="22"/>
          <w:szCs w:val="22"/>
        </w:rPr>
        <w:t>The</w:t>
      </w:r>
      <w:r w:rsidR="002F1A07">
        <w:rPr>
          <w:sz w:val="22"/>
          <w:szCs w:val="22"/>
        </w:rPr>
        <w:t>re</w:t>
      </w:r>
      <w:r>
        <w:rPr>
          <w:sz w:val="22"/>
          <w:szCs w:val="22"/>
        </w:rPr>
        <w:t xml:space="preserve"> </w:t>
      </w:r>
      <w:r w:rsidR="000D1838">
        <w:rPr>
          <w:sz w:val="22"/>
          <w:szCs w:val="22"/>
        </w:rPr>
        <w:t>were no corporate proposals</w:t>
      </w:r>
      <w:r w:rsidR="002F1A07">
        <w:rPr>
          <w:sz w:val="22"/>
          <w:szCs w:val="22"/>
        </w:rPr>
        <w:t xml:space="preserve"> announced from the date of the last quarterly report to the date of this announcement.</w:t>
      </w:r>
    </w:p>
    <w:p w:rsidR="00855F98" w:rsidRDefault="00855F98" w:rsidP="000917CA">
      <w:pPr>
        <w:pStyle w:val="BodyTextIndent3"/>
        <w:tabs>
          <w:tab w:val="clear" w:pos="360"/>
          <w:tab w:val="left" w:pos="720"/>
        </w:tabs>
        <w:rPr>
          <w:sz w:val="22"/>
          <w:szCs w:val="22"/>
        </w:rPr>
      </w:pPr>
    </w:p>
    <w:p w:rsidR="00F672AB" w:rsidRDefault="00F672AB">
      <w:pPr>
        <w:pStyle w:val="Heading2"/>
        <w:tabs>
          <w:tab w:val="clear" w:pos="360"/>
          <w:tab w:val="left" w:pos="720"/>
        </w:tabs>
        <w:rPr>
          <w:sz w:val="22"/>
          <w:szCs w:val="22"/>
        </w:rPr>
      </w:pPr>
      <w:r>
        <w:rPr>
          <w:sz w:val="22"/>
          <w:szCs w:val="22"/>
        </w:rPr>
        <w:t>B9</w:t>
      </w:r>
      <w:r>
        <w:rPr>
          <w:sz w:val="22"/>
          <w:szCs w:val="22"/>
        </w:rPr>
        <w:tab/>
        <w:t>Group Borrowings</w:t>
      </w:r>
    </w:p>
    <w:p w:rsidR="00F672AB" w:rsidRDefault="00F672AB">
      <w:pPr>
        <w:tabs>
          <w:tab w:val="left" w:pos="720"/>
        </w:tabs>
        <w:rPr>
          <w:sz w:val="22"/>
          <w:szCs w:val="22"/>
        </w:rPr>
      </w:pPr>
      <w:r>
        <w:rPr>
          <w:sz w:val="22"/>
          <w:szCs w:val="22"/>
        </w:rPr>
        <w:tab/>
        <w:t>As at 3</w:t>
      </w:r>
      <w:r w:rsidR="00923A77">
        <w:rPr>
          <w:sz w:val="22"/>
          <w:szCs w:val="22"/>
        </w:rPr>
        <w:t>1</w:t>
      </w:r>
      <w:r w:rsidR="00F93C88">
        <w:rPr>
          <w:sz w:val="22"/>
          <w:szCs w:val="22"/>
        </w:rPr>
        <w:t xml:space="preserve"> </w:t>
      </w:r>
      <w:r w:rsidR="005F3FAD">
        <w:rPr>
          <w:sz w:val="22"/>
          <w:szCs w:val="22"/>
        </w:rPr>
        <w:t>March</w:t>
      </w:r>
      <w:r>
        <w:rPr>
          <w:sz w:val="22"/>
          <w:szCs w:val="22"/>
        </w:rPr>
        <w:t xml:space="preserve"> 20</w:t>
      </w:r>
      <w:r w:rsidR="005F3FAD">
        <w:rPr>
          <w:sz w:val="22"/>
          <w:szCs w:val="22"/>
        </w:rPr>
        <w:t>10</w:t>
      </w:r>
      <w:r>
        <w:rPr>
          <w:sz w:val="22"/>
          <w:szCs w:val="22"/>
        </w:rPr>
        <w:t>, the Group borrowings are as follows:</w:t>
      </w:r>
    </w:p>
    <w:p w:rsidR="00F672AB" w:rsidRDefault="00F672AB">
      <w:pPr>
        <w:pStyle w:val="Heading2"/>
        <w:tabs>
          <w:tab w:val="clear" w:pos="360"/>
          <w:tab w:val="left" w:pos="810"/>
          <w:tab w:val="left" w:pos="5310"/>
          <w:tab w:val="left" w:pos="7740"/>
        </w:tabs>
        <w:ind w:left="720"/>
        <w:rPr>
          <w:sz w:val="22"/>
          <w:szCs w:val="22"/>
        </w:rPr>
      </w:pPr>
      <w:r>
        <w:rPr>
          <w:sz w:val="22"/>
          <w:szCs w:val="22"/>
        </w:rPr>
        <w:tab/>
      </w:r>
      <w:r>
        <w:rPr>
          <w:sz w:val="22"/>
          <w:szCs w:val="22"/>
        </w:rPr>
        <w:tab/>
      </w:r>
    </w:p>
    <w:p w:rsidR="00F672AB" w:rsidRDefault="00F672AB">
      <w:pPr>
        <w:rPr>
          <w:sz w:val="22"/>
          <w:szCs w:val="22"/>
          <w:u w:val="single"/>
        </w:rPr>
      </w:pPr>
      <w:r>
        <w:rPr>
          <w:sz w:val="22"/>
          <w:szCs w:val="22"/>
        </w:rPr>
        <w:tab/>
      </w:r>
      <w:r>
        <w:rPr>
          <w:sz w:val="22"/>
          <w:szCs w:val="22"/>
        </w:rPr>
        <w:tab/>
      </w:r>
      <w:r>
        <w:rPr>
          <w:sz w:val="22"/>
          <w:szCs w:val="22"/>
        </w:rPr>
        <w:tab/>
      </w:r>
      <w:r>
        <w:rPr>
          <w:sz w:val="22"/>
          <w:szCs w:val="22"/>
        </w:rPr>
        <w:tab/>
        <w:t xml:space="preserve">   </w:t>
      </w:r>
      <w:r w:rsidR="007F0A8C">
        <w:rPr>
          <w:sz w:val="22"/>
          <w:szCs w:val="22"/>
        </w:rPr>
        <w:t xml:space="preserve"> </w:t>
      </w:r>
      <w:r w:rsidR="008961F4">
        <w:rPr>
          <w:sz w:val="22"/>
          <w:szCs w:val="22"/>
        </w:rPr>
        <w:t xml:space="preserve">    </w:t>
      </w:r>
      <w:r w:rsidR="00664662">
        <w:rPr>
          <w:sz w:val="22"/>
          <w:szCs w:val="22"/>
        </w:rPr>
        <w:t xml:space="preserve"> </w:t>
      </w:r>
      <w:r w:rsidR="0030206C">
        <w:rPr>
          <w:sz w:val="22"/>
          <w:szCs w:val="22"/>
        </w:rPr>
        <w:t xml:space="preserve">      </w:t>
      </w:r>
      <w:r w:rsidR="00F552EB">
        <w:rPr>
          <w:sz w:val="22"/>
          <w:szCs w:val="22"/>
        </w:rPr>
        <w:t xml:space="preserve"> </w:t>
      </w:r>
      <w:r w:rsidR="0030206C">
        <w:rPr>
          <w:sz w:val="22"/>
          <w:szCs w:val="22"/>
        </w:rPr>
        <w:t xml:space="preserve"> </w:t>
      </w:r>
      <w:r w:rsidR="00B76F9B">
        <w:rPr>
          <w:sz w:val="22"/>
          <w:szCs w:val="22"/>
        </w:rPr>
        <w:t xml:space="preserve"> </w:t>
      </w:r>
      <w:r w:rsidR="006B76D4">
        <w:rPr>
          <w:sz w:val="22"/>
          <w:szCs w:val="22"/>
        </w:rPr>
        <w:t xml:space="preserve">  </w:t>
      </w:r>
      <w:r w:rsidR="00B76F9B">
        <w:rPr>
          <w:sz w:val="22"/>
          <w:szCs w:val="22"/>
        </w:rPr>
        <w:t xml:space="preserve"> </w:t>
      </w:r>
      <w:r w:rsidR="005F3FAD">
        <w:rPr>
          <w:sz w:val="22"/>
          <w:szCs w:val="22"/>
        </w:rPr>
        <w:t xml:space="preserve">   </w:t>
      </w:r>
      <w:r>
        <w:rPr>
          <w:sz w:val="22"/>
          <w:szCs w:val="22"/>
          <w:u w:val="single"/>
        </w:rPr>
        <w:t>3</w:t>
      </w:r>
      <w:r w:rsidR="00923A77">
        <w:rPr>
          <w:sz w:val="22"/>
          <w:szCs w:val="22"/>
          <w:u w:val="single"/>
        </w:rPr>
        <w:t>1</w:t>
      </w:r>
      <w:r>
        <w:rPr>
          <w:sz w:val="22"/>
          <w:szCs w:val="22"/>
          <w:u w:val="single"/>
        </w:rPr>
        <w:t xml:space="preserve"> </w:t>
      </w:r>
      <w:r w:rsidR="005F3FAD">
        <w:rPr>
          <w:sz w:val="22"/>
          <w:szCs w:val="22"/>
          <w:u w:val="single"/>
        </w:rPr>
        <w:t>March</w:t>
      </w:r>
      <w:r w:rsidR="000917CA">
        <w:rPr>
          <w:sz w:val="22"/>
          <w:szCs w:val="22"/>
          <w:u w:val="single"/>
        </w:rPr>
        <w:t xml:space="preserve"> </w:t>
      </w:r>
      <w:r>
        <w:rPr>
          <w:sz w:val="22"/>
          <w:szCs w:val="22"/>
          <w:u w:val="single"/>
        </w:rPr>
        <w:t>20</w:t>
      </w:r>
      <w:r w:rsidR="005F3FAD">
        <w:rPr>
          <w:sz w:val="22"/>
          <w:szCs w:val="22"/>
          <w:u w:val="single"/>
        </w:rPr>
        <w:t>10</w:t>
      </w:r>
      <w:r>
        <w:rPr>
          <w:sz w:val="22"/>
          <w:szCs w:val="22"/>
        </w:rPr>
        <w:tab/>
      </w:r>
      <w:r w:rsidR="0030206C">
        <w:rPr>
          <w:sz w:val="22"/>
          <w:szCs w:val="22"/>
        </w:rPr>
        <w:t xml:space="preserve">       </w:t>
      </w:r>
      <w:r w:rsidR="00B76F9B">
        <w:rPr>
          <w:sz w:val="22"/>
          <w:szCs w:val="22"/>
        </w:rPr>
        <w:t xml:space="preserve">            </w:t>
      </w:r>
      <w:r w:rsidR="006B76D4">
        <w:rPr>
          <w:sz w:val="22"/>
          <w:szCs w:val="22"/>
        </w:rPr>
        <w:t xml:space="preserve"> </w:t>
      </w:r>
      <w:r w:rsidR="005F3FAD">
        <w:rPr>
          <w:sz w:val="22"/>
          <w:szCs w:val="22"/>
        </w:rPr>
        <w:t xml:space="preserve">  </w:t>
      </w:r>
      <w:r w:rsidR="006B76D4">
        <w:rPr>
          <w:sz w:val="22"/>
          <w:szCs w:val="22"/>
        </w:rPr>
        <w:t xml:space="preserve"> </w:t>
      </w:r>
      <w:r>
        <w:rPr>
          <w:sz w:val="22"/>
          <w:szCs w:val="22"/>
          <w:u w:val="single"/>
        </w:rPr>
        <w:t>3</w:t>
      </w:r>
      <w:r w:rsidR="00923A77">
        <w:rPr>
          <w:sz w:val="22"/>
          <w:szCs w:val="22"/>
          <w:u w:val="single"/>
        </w:rPr>
        <w:t>1</w:t>
      </w:r>
      <w:r>
        <w:rPr>
          <w:sz w:val="22"/>
          <w:szCs w:val="22"/>
          <w:u w:val="single"/>
        </w:rPr>
        <w:t xml:space="preserve"> </w:t>
      </w:r>
      <w:r w:rsidR="005F3FAD">
        <w:rPr>
          <w:sz w:val="22"/>
          <w:szCs w:val="22"/>
          <w:u w:val="single"/>
        </w:rPr>
        <w:t>March</w:t>
      </w:r>
      <w:r>
        <w:rPr>
          <w:sz w:val="22"/>
          <w:szCs w:val="22"/>
          <w:u w:val="single"/>
        </w:rPr>
        <w:t xml:space="preserve"> 200</w:t>
      </w:r>
      <w:r w:rsidR="005F3FAD">
        <w:rPr>
          <w:sz w:val="22"/>
          <w:szCs w:val="22"/>
          <w:u w:val="single"/>
        </w:rPr>
        <w:t>9</w:t>
      </w:r>
    </w:p>
    <w:p w:rsidR="00F672AB" w:rsidRDefault="00F672AB">
      <w:pPr>
        <w:tabs>
          <w:tab w:val="left" w:pos="630"/>
        </w:tabs>
        <w:rPr>
          <w:sz w:val="22"/>
          <w:szCs w:val="22"/>
        </w:rPr>
      </w:pPr>
      <w:r>
        <w:rPr>
          <w:sz w:val="22"/>
          <w:szCs w:val="22"/>
        </w:rPr>
        <w:tab/>
      </w:r>
      <w:r>
        <w:rPr>
          <w:sz w:val="22"/>
          <w:szCs w:val="22"/>
        </w:rPr>
        <w:tab/>
      </w:r>
      <w:r>
        <w:rPr>
          <w:sz w:val="22"/>
          <w:szCs w:val="22"/>
        </w:rPr>
        <w:tab/>
      </w:r>
      <w:r>
        <w:rPr>
          <w:sz w:val="22"/>
          <w:szCs w:val="22"/>
        </w:rPr>
        <w:tab/>
      </w:r>
      <w:r>
        <w:rPr>
          <w:b/>
          <w:sz w:val="22"/>
          <w:szCs w:val="22"/>
        </w:rPr>
        <w:tab/>
      </w:r>
      <w:r>
        <w:rPr>
          <w:sz w:val="22"/>
          <w:szCs w:val="22"/>
        </w:rPr>
        <w:t xml:space="preserve">     </w:t>
      </w:r>
      <w:r w:rsidR="00D27B53">
        <w:rPr>
          <w:sz w:val="22"/>
          <w:szCs w:val="22"/>
        </w:rPr>
        <w:t xml:space="preserve"> </w:t>
      </w:r>
      <w:r>
        <w:rPr>
          <w:sz w:val="22"/>
          <w:szCs w:val="22"/>
        </w:rPr>
        <w:t xml:space="preserve">  </w:t>
      </w:r>
      <w:r w:rsidR="0024091E">
        <w:rPr>
          <w:sz w:val="22"/>
          <w:szCs w:val="22"/>
        </w:rPr>
        <w:t xml:space="preserve">     </w:t>
      </w:r>
      <w:r>
        <w:rPr>
          <w:sz w:val="22"/>
          <w:szCs w:val="22"/>
        </w:rPr>
        <w:t xml:space="preserve">   </w:t>
      </w:r>
      <w:r w:rsidR="0030206C">
        <w:rPr>
          <w:sz w:val="22"/>
          <w:szCs w:val="22"/>
        </w:rPr>
        <w:t xml:space="preserve">         </w:t>
      </w:r>
      <w:r>
        <w:rPr>
          <w:sz w:val="22"/>
          <w:szCs w:val="22"/>
        </w:rPr>
        <w:t xml:space="preserve"> </w:t>
      </w:r>
      <w:r w:rsidR="00CE7581">
        <w:rPr>
          <w:sz w:val="22"/>
          <w:szCs w:val="22"/>
        </w:rPr>
        <w:t xml:space="preserve">     </w:t>
      </w:r>
      <w:r>
        <w:rPr>
          <w:sz w:val="22"/>
          <w:szCs w:val="22"/>
          <w:u w:val="single"/>
        </w:rPr>
        <w:t>RM’000</w:t>
      </w:r>
      <w:r>
        <w:rPr>
          <w:sz w:val="22"/>
          <w:szCs w:val="22"/>
        </w:rPr>
        <w:tab/>
      </w:r>
      <w:r>
        <w:rPr>
          <w:sz w:val="22"/>
          <w:szCs w:val="22"/>
        </w:rPr>
        <w:tab/>
        <w:t xml:space="preserve">   </w:t>
      </w:r>
      <w:r w:rsidR="0024091E">
        <w:rPr>
          <w:sz w:val="22"/>
          <w:szCs w:val="22"/>
        </w:rPr>
        <w:t xml:space="preserve">  </w:t>
      </w:r>
      <w:r w:rsidR="007F0A8C">
        <w:rPr>
          <w:sz w:val="22"/>
          <w:szCs w:val="22"/>
        </w:rPr>
        <w:t xml:space="preserve"> </w:t>
      </w:r>
      <w:r w:rsidR="0030206C">
        <w:rPr>
          <w:sz w:val="22"/>
          <w:szCs w:val="22"/>
        </w:rPr>
        <w:t xml:space="preserve">           </w:t>
      </w:r>
      <w:r>
        <w:rPr>
          <w:sz w:val="22"/>
          <w:szCs w:val="22"/>
          <w:u w:val="single"/>
        </w:rPr>
        <w:t>RM’000</w:t>
      </w:r>
      <w:r>
        <w:rPr>
          <w:sz w:val="22"/>
          <w:szCs w:val="22"/>
        </w:rPr>
        <w:t xml:space="preserve">  </w:t>
      </w:r>
    </w:p>
    <w:p w:rsidR="00F672AB" w:rsidRDefault="00F672AB">
      <w:pPr>
        <w:tabs>
          <w:tab w:val="left" w:pos="360"/>
          <w:tab w:val="left" w:pos="810"/>
          <w:tab w:val="left" w:pos="5310"/>
          <w:tab w:val="left" w:pos="7740"/>
        </w:tabs>
        <w:rPr>
          <w:sz w:val="22"/>
          <w:szCs w:val="22"/>
        </w:rPr>
      </w:pPr>
      <w:r>
        <w:rPr>
          <w:sz w:val="22"/>
          <w:szCs w:val="22"/>
        </w:rPr>
        <w:tab/>
      </w:r>
      <w:r>
        <w:rPr>
          <w:sz w:val="22"/>
          <w:szCs w:val="22"/>
        </w:rPr>
        <w:tab/>
      </w:r>
      <w:r w:rsidR="00B76F9B">
        <w:rPr>
          <w:sz w:val="22"/>
          <w:szCs w:val="22"/>
        </w:rPr>
        <w:t>B</w:t>
      </w:r>
      <w:r>
        <w:rPr>
          <w:sz w:val="22"/>
          <w:szCs w:val="22"/>
        </w:rPr>
        <w:t xml:space="preserve">orrowings:                </w:t>
      </w:r>
      <w:r w:rsidR="0024091E">
        <w:rPr>
          <w:sz w:val="22"/>
          <w:szCs w:val="22"/>
        </w:rPr>
        <w:t xml:space="preserve"> </w:t>
      </w:r>
    </w:p>
    <w:p w:rsidR="008661FC" w:rsidRDefault="00F672AB">
      <w:pPr>
        <w:tabs>
          <w:tab w:val="left" w:pos="360"/>
          <w:tab w:val="left" w:pos="810"/>
          <w:tab w:val="left" w:pos="5310"/>
          <w:tab w:val="left" w:pos="7740"/>
        </w:tabs>
        <w:rPr>
          <w:sz w:val="22"/>
          <w:szCs w:val="22"/>
        </w:rPr>
      </w:pPr>
      <w:r>
        <w:rPr>
          <w:sz w:val="22"/>
          <w:szCs w:val="22"/>
        </w:rPr>
        <w:tab/>
      </w:r>
      <w:r>
        <w:rPr>
          <w:sz w:val="22"/>
          <w:szCs w:val="22"/>
        </w:rPr>
        <w:tab/>
      </w:r>
      <w:r w:rsidR="0060479E">
        <w:rPr>
          <w:sz w:val="22"/>
          <w:szCs w:val="22"/>
        </w:rPr>
        <w:t xml:space="preserve">  </w:t>
      </w:r>
      <w:r>
        <w:rPr>
          <w:sz w:val="22"/>
          <w:szCs w:val="22"/>
        </w:rPr>
        <w:t>Term loan</w:t>
      </w:r>
      <w:r w:rsidR="00132761">
        <w:rPr>
          <w:sz w:val="22"/>
          <w:szCs w:val="22"/>
        </w:rPr>
        <w:t xml:space="preserve"> (secured)</w:t>
      </w:r>
      <w:r>
        <w:rPr>
          <w:sz w:val="22"/>
          <w:szCs w:val="22"/>
        </w:rPr>
        <w:t xml:space="preserve">          </w:t>
      </w:r>
      <w:r w:rsidR="007B492F">
        <w:rPr>
          <w:sz w:val="22"/>
          <w:szCs w:val="22"/>
        </w:rPr>
        <w:t xml:space="preserve">   </w:t>
      </w:r>
      <w:r w:rsidR="00AB4D22">
        <w:rPr>
          <w:sz w:val="22"/>
          <w:szCs w:val="22"/>
        </w:rPr>
        <w:t xml:space="preserve">    </w:t>
      </w:r>
      <w:r w:rsidR="0024091E">
        <w:rPr>
          <w:sz w:val="22"/>
          <w:szCs w:val="22"/>
        </w:rPr>
        <w:t xml:space="preserve">  </w:t>
      </w:r>
      <w:r w:rsidR="00AB4D22">
        <w:rPr>
          <w:sz w:val="22"/>
          <w:szCs w:val="22"/>
        </w:rPr>
        <w:t xml:space="preserve">   </w:t>
      </w:r>
      <w:r w:rsidR="0030206C">
        <w:rPr>
          <w:sz w:val="22"/>
          <w:szCs w:val="22"/>
        </w:rPr>
        <w:t xml:space="preserve">          </w:t>
      </w:r>
      <w:r w:rsidR="00CE7581">
        <w:rPr>
          <w:sz w:val="22"/>
          <w:szCs w:val="22"/>
        </w:rPr>
        <w:t xml:space="preserve">    </w:t>
      </w:r>
      <w:r w:rsidR="00317CF8">
        <w:rPr>
          <w:sz w:val="22"/>
          <w:szCs w:val="22"/>
        </w:rPr>
        <w:t xml:space="preserve">  </w:t>
      </w:r>
      <w:r w:rsidR="00923A77">
        <w:rPr>
          <w:sz w:val="22"/>
          <w:szCs w:val="22"/>
        </w:rPr>
        <w:t>8</w:t>
      </w:r>
      <w:r w:rsidR="00B76F9B">
        <w:rPr>
          <w:sz w:val="22"/>
          <w:szCs w:val="22"/>
        </w:rPr>
        <w:t>,</w:t>
      </w:r>
      <w:r w:rsidR="00923A77">
        <w:rPr>
          <w:sz w:val="22"/>
          <w:szCs w:val="22"/>
        </w:rPr>
        <w:t>806</w:t>
      </w:r>
      <w:r w:rsidR="00317CF8">
        <w:rPr>
          <w:sz w:val="22"/>
          <w:szCs w:val="22"/>
        </w:rPr>
        <w:t xml:space="preserve">  </w:t>
      </w:r>
      <w:r w:rsidR="00CE7581">
        <w:rPr>
          <w:sz w:val="22"/>
          <w:szCs w:val="22"/>
        </w:rPr>
        <w:t xml:space="preserve"> </w:t>
      </w:r>
      <w:r w:rsidR="0027380A">
        <w:rPr>
          <w:sz w:val="22"/>
          <w:szCs w:val="22"/>
        </w:rPr>
        <w:t xml:space="preserve"> </w:t>
      </w:r>
      <w:r w:rsidR="0024091E">
        <w:rPr>
          <w:sz w:val="22"/>
          <w:szCs w:val="22"/>
        </w:rPr>
        <w:t xml:space="preserve">  </w:t>
      </w:r>
      <w:r w:rsidR="0027380A">
        <w:rPr>
          <w:sz w:val="22"/>
          <w:szCs w:val="22"/>
        </w:rPr>
        <w:t xml:space="preserve"> </w:t>
      </w:r>
      <w:r w:rsidR="007B492F">
        <w:rPr>
          <w:sz w:val="22"/>
          <w:szCs w:val="22"/>
        </w:rPr>
        <w:t xml:space="preserve">    </w:t>
      </w:r>
      <w:r w:rsidR="0024091E">
        <w:rPr>
          <w:sz w:val="22"/>
          <w:szCs w:val="22"/>
        </w:rPr>
        <w:t xml:space="preserve"> </w:t>
      </w:r>
      <w:r w:rsidR="0030206C">
        <w:rPr>
          <w:sz w:val="22"/>
          <w:szCs w:val="22"/>
        </w:rPr>
        <w:t xml:space="preserve">                     </w:t>
      </w:r>
      <w:r w:rsidR="00B76F9B">
        <w:rPr>
          <w:sz w:val="22"/>
          <w:szCs w:val="22"/>
        </w:rPr>
        <w:t xml:space="preserve">        </w:t>
      </w:r>
      <w:r w:rsidR="00374565">
        <w:rPr>
          <w:sz w:val="22"/>
          <w:szCs w:val="22"/>
        </w:rPr>
        <w:t xml:space="preserve"> </w:t>
      </w:r>
      <w:r w:rsidR="00923A77">
        <w:rPr>
          <w:sz w:val="22"/>
          <w:szCs w:val="22"/>
        </w:rPr>
        <w:t xml:space="preserve"> </w:t>
      </w:r>
      <w:r w:rsidR="00374565">
        <w:rPr>
          <w:sz w:val="22"/>
          <w:szCs w:val="22"/>
        </w:rPr>
        <w:t>4,480</w:t>
      </w:r>
      <w:r w:rsidR="00923A77">
        <w:rPr>
          <w:sz w:val="22"/>
          <w:szCs w:val="22"/>
        </w:rPr>
        <w:t xml:space="preserve">    </w:t>
      </w:r>
      <w:r>
        <w:rPr>
          <w:sz w:val="22"/>
          <w:szCs w:val="22"/>
        </w:rPr>
        <w:t xml:space="preserve">  </w:t>
      </w:r>
      <w:r w:rsidR="008661FC">
        <w:rPr>
          <w:sz w:val="22"/>
          <w:szCs w:val="22"/>
        </w:rPr>
        <w:t xml:space="preserve">  </w:t>
      </w:r>
      <w:r w:rsidR="0060479E">
        <w:rPr>
          <w:sz w:val="22"/>
          <w:szCs w:val="22"/>
        </w:rPr>
        <w:t xml:space="preserve"> </w:t>
      </w:r>
    </w:p>
    <w:p w:rsidR="00F672AB" w:rsidRDefault="00F672AB" w:rsidP="0030206C">
      <w:pPr>
        <w:tabs>
          <w:tab w:val="left" w:pos="360"/>
          <w:tab w:val="left" w:pos="810"/>
          <w:tab w:val="left" w:pos="5310"/>
          <w:tab w:val="left" w:pos="7740"/>
        </w:tabs>
        <w:rPr>
          <w:sz w:val="22"/>
          <w:szCs w:val="22"/>
        </w:rPr>
      </w:pPr>
      <w:r>
        <w:rPr>
          <w:sz w:val="22"/>
          <w:szCs w:val="22"/>
        </w:rPr>
        <w:tab/>
      </w:r>
      <w:r>
        <w:rPr>
          <w:sz w:val="22"/>
          <w:szCs w:val="22"/>
        </w:rPr>
        <w:tab/>
        <w:t xml:space="preserve">                                       </w:t>
      </w:r>
      <w:r w:rsidR="0030206C">
        <w:rPr>
          <w:sz w:val="22"/>
          <w:szCs w:val="22"/>
        </w:rPr>
        <w:t xml:space="preserve">               </w:t>
      </w:r>
      <w:r>
        <w:rPr>
          <w:sz w:val="22"/>
          <w:szCs w:val="22"/>
        </w:rPr>
        <w:t xml:space="preserve"> </w:t>
      </w:r>
      <w:r w:rsidR="00CE7581">
        <w:rPr>
          <w:sz w:val="22"/>
          <w:szCs w:val="22"/>
        </w:rPr>
        <w:t xml:space="preserve">     </w:t>
      </w:r>
      <w:r>
        <w:rPr>
          <w:sz w:val="22"/>
          <w:szCs w:val="22"/>
        </w:rPr>
        <w:t xml:space="preserve">----------------------                </w:t>
      </w:r>
      <w:r w:rsidR="0030206C">
        <w:rPr>
          <w:sz w:val="22"/>
          <w:szCs w:val="22"/>
        </w:rPr>
        <w:t xml:space="preserve">      </w:t>
      </w:r>
      <w:r>
        <w:rPr>
          <w:sz w:val="22"/>
          <w:szCs w:val="22"/>
        </w:rPr>
        <w:t>----------------------</w:t>
      </w:r>
      <w:r>
        <w:rPr>
          <w:sz w:val="22"/>
          <w:szCs w:val="22"/>
        </w:rPr>
        <w:tab/>
      </w:r>
      <w:r>
        <w:rPr>
          <w:sz w:val="22"/>
          <w:szCs w:val="22"/>
        </w:rPr>
        <w:tab/>
      </w:r>
      <w:r>
        <w:rPr>
          <w:sz w:val="22"/>
          <w:szCs w:val="22"/>
        </w:rPr>
        <w:tab/>
      </w:r>
      <w:r w:rsidR="0030206C">
        <w:rPr>
          <w:sz w:val="22"/>
          <w:szCs w:val="22"/>
        </w:rPr>
        <w:t xml:space="preserve">             </w:t>
      </w:r>
      <w:r>
        <w:rPr>
          <w:sz w:val="22"/>
          <w:szCs w:val="22"/>
        </w:rPr>
        <w:t xml:space="preserve">                                         </w:t>
      </w:r>
      <w:r w:rsidR="00152F80">
        <w:rPr>
          <w:sz w:val="22"/>
          <w:szCs w:val="22"/>
        </w:rPr>
        <w:t xml:space="preserve">     </w:t>
      </w:r>
      <w:r w:rsidR="00811A91">
        <w:rPr>
          <w:sz w:val="22"/>
          <w:szCs w:val="22"/>
        </w:rPr>
        <w:t xml:space="preserve">      </w:t>
      </w:r>
      <w:r w:rsidR="0024091E">
        <w:rPr>
          <w:sz w:val="22"/>
          <w:szCs w:val="22"/>
        </w:rPr>
        <w:t xml:space="preserve"> </w:t>
      </w:r>
      <w:r w:rsidR="0030206C">
        <w:rPr>
          <w:sz w:val="22"/>
          <w:szCs w:val="22"/>
        </w:rPr>
        <w:t xml:space="preserve">     </w:t>
      </w:r>
      <w:r w:rsidR="00811A91">
        <w:rPr>
          <w:sz w:val="22"/>
          <w:szCs w:val="22"/>
        </w:rPr>
        <w:t xml:space="preserve"> </w:t>
      </w:r>
      <w:r w:rsidR="00CE7581">
        <w:rPr>
          <w:sz w:val="22"/>
          <w:szCs w:val="22"/>
        </w:rPr>
        <w:t xml:space="preserve">         </w:t>
      </w:r>
      <w:r w:rsidR="00923A77">
        <w:rPr>
          <w:sz w:val="22"/>
          <w:szCs w:val="22"/>
        </w:rPr>
        <w:t>8</w:t>
      </w:r>
      <w:r w:rsidR="00B76F9B">
        <w:rPr>
          <w:sz w:val="22"/>
          <w:szCs w:val="22"/>
        </w:rPr>
        <w:t>,</w:t>
      </w:r>
      <w:r w:rsidR="00923A77">
        <w:rPr>
          <w:sz w:val="22"/>
          <w:szCs w:val="22"/>
        </w:rPr>
        <w:t>806</w:t>
      </w:r>
      <w:r>
        <w:rPr>
          <w:sz w:val="22"/>
          <w:szCs w:val="22"/>
        </w:rPr>
        <w:t xml:space="preserve">          </w:t>
      </w:r>
      <w:r w:rsidR="0027380A">
        <w:rPr>
          <w:sz w:val="22"/>
          <w:szCs w:val="22"/>
        </w:rPr>
        <w:t xml:space="preserve"> </w:t>
      </w:r>
      <w:r w:rsidR="003F6EA1">
        <w:rPr>
          <w:sz w:val="22"/>
          <w:szCs w:val="22"/>
        </w:rPr>
        <w:t xml:space="preserve"> </w:t>
      </w:r>
      <w:r w:rsidR="003943AB">
        <w:rPr>
          <w:sz w:val="22"/>
          <w:szCs w:val="22"/>
        </w:rPr>
        <w:t xml:space="preserve">  </w:t>
      </w:r>
      <w:r w:rsidR="0024091E">
        <w:rPr>
          <w:sz w:val="22"/>
          <w:szCs w:val="22"/>
        </w:rPr>
        <w:t xml:space="preserve">  </w:t>
      </w:r>
      <w:r w:rsidR="003943AB">
        <w:rPr>
          <w:sz w:val="22"/>
          <w:szCs w:val="22"/>
        </w:rPr>
        <w:t xml:space="preserve">   </w:t>
      </w:r>
      <w:r w:rsidR="0030206C">
        <w:rPr>
          <w:sz w:val="22"/>
          <w:szCs w:val="22"/>
        </w:rPr>
        <w:t xml:space="preserve">                 </w:t>
      </w:r>
      <w:r w:rsidR="00B76F9B">
        <w:rPr>
          <w:sz w:val="22"/>
          <w:szCs w:val="22"/>
        </w:rPr>
        <w:t xml:space="preserve">  </w:t>
      </w:r>
      <w:r w:rsidR="0030206C">
        <w:rPr>
          <w:sz w:val="22"/>
          <w:szCs w:val="22"/>
        </w:rPr>
        <w:t xml:space="preserve">    </w:t>
      </w:r>
      <w:r w:rsidR="00374565">
        <w:rPr>
          <w:sz w:val="22"/>
          <w:szCs w:val="22"/>
        </w:rPr>
        <w:t>4,480</w:t>
      </w:r>
    </w:p>
    <w:p w:rsidR="00F672AB" w:rsidRDefault="00F672AB">
      <w:pPr>
        <w:tabs>
          <w:tab w:val="left" w:pos="360"/>
          <w:tab w:val="left" w:pos="810"/>
          <w:tab w:val="left" w:pos="5130"/>
          <w:tab w:val="left" w:pos="7740"/>
        </w:tabs>
        <w:rPr>
          <w:sz w:val="22"/>
          <w:szCs w:val="22"/>
        </w:rPr>
      </w:pPr>
      <w:r>
        <w:rPr>
          <w:sz w:val="22"/>
          <w:szCs w:val="22"/>
        </w:rPr>
        <w:t xml:space="preserve">                                                       </w:t>
      </w:r>
      <w:r w:rsidR="0030206C">
        <w:rPr>
          <w:sz w:val="22"/>
          <w:szCs w:val="22"/>
        </w:rPr>
        <w:t xml:space="preserve">            </w:t>
      </w:r>
      <w:r>
        <w:rPr>
          <w:sz w:val="22"/>
          <w:szCs w:val="22"/>
        </w:rPr>
        <w:t xml:space="preserve"> </w:t>
      </w:r>
      <w:r w:rsidR="00CE7581">
        <w:rPr>
          <w:sz w:val="22"/>
          <w:szCs w:val="22"/>
        </w:rPr>
        <w:t xml:space="preserve">     </w:t>
      </w:r>
      <w:r>
        <w:rPr>
          <w:sz w:val="22"/>
          <w:szCs w:val="22"/>
        </w:rPr>
        <w:t xml:space="preserve"> ==============          </w:t>
      </w:r>
      <w:r w:rsidR="0030206C">
        <w:rPr>
          <w:sz w:val="22"/>
          <w:szCs w:val="22"/>
        </w:rPr>
        <w:t xml:space="preserve">          </w:t>
      </w:r>
      <w:r>
        <w:rPr>
          <w:sz w:val="22"/>
          <w:szCs w:val="22"/>
        </w:rPr>
        <w:t xml:space="preserve"> ==============</w:t>
      </w:r>
    </w:p>
    <w:p w:rsidR="005A7E22" w:rsidRDefault="005A7E22">
      <w:pPr>
        <w:pStyle w:val="Heading2"/>
        <w:tabs>
          <w:tab w:val="left" w:pos="810"/>
          <w:tab w:val="left" w:pos="5130"/>
          <w:tab w:val="left" w:pos="7740"/>
        </w:tabs>
        <w:rPr>
          <w:sz w:val="22"/>
          <w:szCs w:val="22"/>
        </w:rPr>
      </w:pPr>
    </w:p>
    <w:p w:rsidR="00F672AB" w:rsidRDefault="00F672AB">
      <w:pPr>
        <w:pStyle w:val="Heading2"/>
        <w:tabs>
          <w:tab w:val="left" w:pos="810"/>
          <w:tab w:val="left" w:pos="5130"/>
          <w:tab w:val="left" w:pos="7740"/>
        </w:tabs>
        <w:rPr>
          <w:sz w:val="22"/>
          <w:szCs w:val="22"/>
        </w:rPr>
      </w:pPr>
      <w:r>
        <w:rPr>
          <w:sz w:val="22"/>
          <w:szCs w:val="22"/>
        </w:rPr>
        <w:t>B10</w:t>
      </w:r>
      <w:r>
        <w:rPr>
          <w:sz w:val="22"/>
          <w:szCs w:val="22"/>
        </w:rPr>
        <w:tab/>
        <w:t>Off Balance Sheet Financial Instruments</w:t>
      </w:r>
    </w:p>
    <w:p w:rsidR="00F672AB" w:rsidRDefault="00F672AB">
      <w:pPr>
        <w:tabs>
          <w:tab w:val="left" w:pos="360"/>
          <w:tab w:val="left" w:pos="810"/>
          <w:tab w:val="left" w:pos="5130"/>
          <w:tab w:val="left" w:pos="7740"/>
        </w:tabs>
        <w:rPr>
          <w:sz w:val="22"/>
          <w:szCs w:val="22"/>
        </w:rPr>
      </w:pPr>
      <w:r>
        <w:rPr>
          <w:sz w:val="22"/>
          <w:szCs w:val="22"/>
        </w:rPr>
        <w:tab/>
      </w:r>
      <w:r>
        <w:rPr>
          <w:sz w:val="22"/>
          <w:szCs w:val="22"/>
        </w:rPr>
        <w:tab/>
        <w:t>There is no financial instrument with off-balance sheet risk as at the date of this report.</w:t>
      </w:r>
    </w:p>
    <w:p w:rsidR="00F672AB" w:rsidRDefault="00F672AB">
      <w:pPr>
        <w:tabs>
          <w:tab w:val="left" w:pos="360"/>
          <w:tab w:val="left" w:pos="810"/>
          <w:tab w:val="left" w:pos="5130"/>
          <w:tab w:val="left" w:pos="7740"/>
        </w:tabs>
        <w:rPr>
          <w:sz w:val="22"/>
          <w:szCs w:val="22"/>
        </w:rPr>
      </w:pPr>
    </w:p>
    <w:p w:rsidR="00F672AB" w:rsidRDefault="00F672AB">
      <w:pPr>
        <w:pStyle w:val="Heading2"/>
        <w:tabs>
          <w:tab w:val="left" w:pos="810"/>
          <w:tab w:val="left" w:pos="5130"/>
          <w:tab w:val="left" w:pos="7740"/>
        </w:tabs>
        <w:rPr>
          <w:sz w:val="22"/>
          <w:szCs w:val="22"/>
        </w:rPr>
      </w:pPr>
      <w:r>
        <w:rPr>
          <w:sz w:val="22"/>
          <w:szCs w:val="22"/>
        </w:rPr>
        <w:t>B11</w:t>
      </w:r>
      <w:r>
        <w:rPr>
          <w:sz w:val="22"/>
          <w:szCs w:val="22"/>
        </w:rPr>
        <w:tab/>
        <w:t>Material Litigation</w:t>
      </w:r>
    </w:p>
    <w:p w:rsidR="00F672AB" w:rsidRPr="002C7B38" w:rsidRDefault="00F672AB">
      <w:pPr>
        <w:tabs>
          <w:tab w:val="left" w:pos="360"/>
          <w:tab w:val="left" w:pos="810"/>
          <w:tab w:val="left" w:pos="5130"/>
          <w:tab w:val="left" w:pos="7740"/>
        </w:tabs>
        <w:rPr>
          <w:b/>
          <w:sz w:val="22"/>
          <w:szCs w:val="22"/>
        </w:rPr>
      </w:pPr>
      <w:r>
        <w:rPr>
          <w:sz w:val="22"/>
          <w:szCs w:val="22"/>
        </w:rPr>
        <w:tab/>
      </w:r>
      <w:r>
        <w:rPr>
          <w:sz w:val="22"/>
          <w:szCs w:val="22"/>
        </w:rPr>
        <w:tab/>
        <w:t xml:space="preserve">The list of material litigation is attached as </w:t>
      </w:r>
      <w:r w:rsidRPr="002C7B38">
        <w:rPr>
          <w:b/>
          <w:sz w:val="22"/>
          <w:szCs w:val="22"/>
          <w:u w:val="single"/>
        </w:rPr>
        <w:t>Annexure 1</w:t>
      </w:r>
    </w:p>
    <w:p w:rsidR="00F672AB" w:rsidRDefault="00F672AB">
      <w:pPr>
        <w:tabs>
          <w:tab w:val="left" w:pos="360"/>
          <w:tab w:val="left" w:pos="810"/>
          <w:tab w:val="left" w:pos="5130"/>
          <w:tab w:val="left" w:pos="7740"/>
        </w:tabs>
        <w:rPr>
          <w:sz w:val="22"/>
          <w:szCs w:val="22"/>
        </w:rPr>
      </w:pPr>
    </w:p>
    <w:p w:rsidR="00F672AB" w:rsidRDefault="00F672AB">
      <w:pPr>
        <w:pStyle w:val="Heading2"/>
        <w:tabs>
          <w:tab w:val="left" w:pos="810"/>
          <w:tab w:val="left" w:pos="5130"/>
          <w:tab w:val="left" w:pos="7740"/>
        </w:tabs>
        <w:rPr>
          <w:sz w:val="22"/>
          <w:szCs w:val="22"/>
        </w:rPr>
      </w:pPr>
      <w:r>
        <w:rPr>
          <w:sz w:val="22"/>
          <w:szCs w:val="22"/>
        </w:rPr>
        <w:t>B12</w:t>
      </w:r>
      <w:r>
        <w:rPr>
          <w:sz w:val="22"/>
          <w:szCs w:val="22"/>
        </w:rPr>
        <w:tab/>
        <w:t>Dividend</w:t>
      </w:r>
      <w:r w:rsidR="005B2568">
        <w:rPr>
          <w:sz w:val="22"/>
          <w:szCs w:val="22"/>
        </w:rPr>
        <w:t xml:space="preserve"> Payable</w:t>
      </w:r>
    </w:p>
    <w:p w:rsidR="00F672AB" w:rsidRDefault="00F672AB" w:rsidP="00FC1998">
      <w:pPr>
        <w:tabs>
          <w:tab w:val="left" w:pos="360"/>
          <w:tab w:val="left" w:pos="810"/>
          <w:tab w:val="left" w:pos="5130"/>
          <w:tab w:val="left" w:pos="7740"/>
        </w:tabs>
        <w:jc w:val="both"/>
        <w:rPr>
          <w:sz w:val="22"/>
          <w:szCs w:val="22"/>
        </w:rPr>
      </w:pPr>
      <w:r>
        <w:rPr>
          <w:sz w:val="22"/>
          <w:szCs w:val="22"/>
        </w:rPr>
        <w:tab/>
      </w:r>
      <w:r>
        <w:rPr>
          <w:sz w:val="22"/>
          <w:szCs w:val="22"/>
        </w:rPr>
        <w:tab/>
      </w:r>
      <w:r w:rsidR="00FC1998">
        <w:rPr>
          <w:sz w:val="22"/>
          <w:szCs w:val="22"/>
        </w:rPr>
        <w:t>No interim dividend has been recommended for the current financial to date.</w:t>
      </w:r>
    </w:p>
    <w:p w:rsidR="00855F98" w:rsidRDefault="00855F98">
      <w:pPr>
        <w:pStyle w:val="Heading2"/>
        <w:tabs>
          <w:tab w:val="left" w:pos="810"/>
          <w:tab w:val="left" w:pos="5130"/>
          <w:tab w:val="left" w:pos="7740"/>
        </w:tabs>
        <w:rPr>
          <w:sz w:val="22"/>
          <w:szCs w:val="22"/>
        </w:rPr>
      </w:pPr>
    </w:p>
    <w:p w:rsidR="00F672AB" w:rsidRDefault="00F672AB">
      <w:pPr>
        <w:pStyle w:val="Heading2"/>
        <w:tabs>
          <w:tab w:val="left" w:pos="810"/>
          <w:tab w:val="left" w:pos="5130"/>
          <w:tab w:val="left" w:pos="7740"/>
        </w:tabs>
        <w:rPr>
          <w:sz w:val="22"/>
          <w:szCs w:val="22"/>
        </w:rPr>
      </w:pPr>
      <w:r>
        <w:rPr>
          <w:sz w:val="22"/>
          <w:szCs w:val="22"/>
        </w:rPr>
        <w:t>B13</w:t>
      </w:r>
      <w:r>
        <w:rPr>
          <w:sz w:val="22"/>
          <w:szCs w:val="22"/>
        </w:rPr>
        <w:tab/>
        <w:t>Earnings per share</w:t>
      </w:r>
    </w:p>
    <w:p w:rsidR="00F672AB" w:rsidRDefault="00F672AB">
      <w:pPr>
        <w:tabs>
          <w:tab w:val="left" w:pos="360"/>
          <w:tab w:val="left" w:pos="810"/>
          <w:tab w:val="left" w:pos="5130"/>
          <w:tab w:val="left" w:pos="7740"/>
        </w:tabs>
        <w:rPr>
          <w:sz w:val="22"/>
          <w:szCs w:val="22"/>
        </w:rPr>
      </w:pPr>
    </w:p>
    <w:p w:rsidR="00F672AB" w:rsidRDefault="00F672A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857D2">
        <w:rPr>
          <w:sz w:val="22"/>
          <w:szCs w:val="22"/>
        </w:rPr>
        <w:t xml:space="preserve">  </w:t>
      </w:r>
      <w:r w:rsidR="0024091E">
        <w:rPr>
          <w:sz w:val="22"/>
          <w:szCs w:val="22"/>
        </w:rPr>
        <w:t xml:space="preserve"> </w:t>
      </w:r>
      <w:r>
        <w:rPr>
          <w:sz w:val="22"/>
          <w:szCs w:val="22"/>
        </w:rPr>
        <w:t xml:space="preserve"> </w:t>
      </w:r>
      <w:r w:rsidR="0024091E">
        <w:rPr>
          <w:sz w:val="22"/>
          <w:szCs w:val="22"/>
        </w:rPr>
        <w:t xml:space="preserve">     </w:t>
      </w:r>
      <w:r>
        <w:rPr>
          <w:sz w:val="22"/>
          <w:szCs w:val="22"/>
        </w:rPr>
        <w:t xml:space="preserve">      </w:t>
      </w:r>
      <w:r w:rsidR="0024091E">
        <w:rPr>
          <w:sz w:val="22"/>
          <w:szCs w:val="22"/>
        </w:rPr>
        <w:t>Current</w:t>
      </w:r>
      <w:r w:rsidR="0024091E">
        <w:rPr>
          <w:sz w:val="22"/>
          <w:szCs w:val="22"/>
        </w:rPr>
        <w:tab/>
        <w:t xml:space="preserve">            </w:t>
      </w:r>
      <w:r>
        <w:rPr>
          <w:sz w:val="22"/>
          <w:szCs w:val="22"/>
        </w:rPr>
        <w:t xml:space="preserve"> Comparative </w:t>
      </w:r>
    </w:p>
    <w:p w:rsidR="00F672AB" w:rsidRDefault="00F672A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857D2">
        <w:rPr>
          <w:sz w:val="22"/>
          <w:szCs w:val="22"/>
        </w:rPr>
        <w:t xml:space="preserve">   </w:t>
      </w:r>
      <w:r>
        <w:rPr>
          <w:sz w:val="22"/>
          <w:szCs w:val="22"/>
        </w:rPr>
        <w:t xml:space="preserve"> </w:t>
      </w:r>
      <w:r w:rsidR="0024091E">
        <w:rPr>
          <w:sz w:val="22"/>
          <w:szCs w:val="22"/>
        </w:rPr>
        <w:t xml:space="preserve">     </w:t>
      </w:r>
      <w:r>
        <w:rPr>
          <w:sz w:val="22"/>
          <w:szCs w:val="22"/>
        </w:rPr>
        <w:t xml:space="preserve"> quarter ended  </w:t>
      </w:r>
      <w:r w:rsidR="005857D2">
        <w:rPr>
          <w:sz w:val="22"/>
          <w:szCs w:val="22"/>
        </w:rPr>
        <w:t xml:space="preserve">         </w:t>
      </w:r>
      <w:r w:rsidR="0024091E">
        <w:rPr>
          <w:sz w:val="22"/>
          <w:szCs w:val="22"/>
        </w:rPr>
        <w:t xml:space="preserve">   </w:t>
      </w:r>
      <w:r>
        <w:rPr>
          <w:sz w:val="22"/>
          <w:szCs w:val="22"/>
        </w:rPr>
        <w:t xml:space="preserve">  </w:t>
      </w:r>
      <w:r w:rsidR="005857D2">
        <w:rPr>
          <w:sz w:val="22"/>
          <w:szCs w:val="22"/>
        </w:rPr>
        <w:t xml:space="preserve"> </w:t>
      </w:r>
      <w:r>
        <w:rPr>
          <w:sz w:val="22"/>
          <w:szCs w:val="22"/>
        </w:rPr>
        <w:t xml:space="preserve">   quarter ended</w:t>
      </w:r>
    </w:p>
    <w:p w:rsidR="00F672AB" w:rsidRDefault="00F672AB">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sidR="007F188C">
        <w:rPr>
          <w:sz w:val="22"/>
          <w:szCs w:val="22"/>
        </w:rPr>
        <w:t xml:space="preserve">  </w:t>
      </w:r>
      <w:r w:rsidR="005857D2">
        <w:rPr>
          <w:sz w:val="22"/>
          <w:szCs w:val="22"/>
        </w:rPr>
        <w:t xml:space="preserve">   </w:t>
      </w:r>
      <w:r w:rsidR="007F188C">
        <w:rPr>
          <w:sz w:val="22"/>
          <w:szCs w:val="22"/>
        </w:rPr>
        <w:t xml:space="preserve">      </w:t>
      </w:r>
      <w:r w:rsidR="002B3991">
        <w:rPr>
          <w:sz w:val="22"/>
          <w:szCs w:val="22"/>
        </w:rPr>
        <w:t xml:space="preserve">  </w:t>
      </w:r>
      <w:r w:rsidR="00664662">
        <w:rPr>
          <w:sz w:val="22"/>
          <w:szCs w:val="22"/>
        </w:rPr>
        <w:t xml:space="preserve"> </w:t>
      </w:r>
      <w:r w:rsidR="00FB783A">
        <w:rPr>
          <w:sz w:val="22"/>
          <w:szCs w:val="22"/>
        </w:rPr>
        <w:t xml:space="preserve">   </w:t>
      </w:r>
      <w:r w:rsidR="006B76D4">
        <w:rPr>
          <w:sz w:val="22"/>
          <w:szCs w:val="22"/>
        </w:rPr>
        <w:t xml:space="preserve"> </w:t>
      </w:r>
      <w:r w:rsidR="005F3FAD">
        <w:rPr>
          <w:sz w:val="22"/>
          <w:szCs w:val="22"/>
        </w:rPr>
        <w:t xml:space="preserve">    </w:t>
      </w:r>
      <w:r>
        <w:rPr>
          <w:sz w:val="22"/>
          <w:szCs w:val="22"/>
          <w:u w:val="single"/>
        </w:rPr>
        <w:t>3</w:t>
      </w:r>
      <w:r w:rsidR="007810D7">
        <w:rPr>
          <w:sz w:val="22"/>
          <w:szCs w:val="22"/>
          <w:u w:val="single"/>
        </w:rPr>
        <w:t>1</w:t>
      </w:r>
      <w:r>
        <w:rPr>
          <w:sz w:val="22"/>
          <w:szCs w:val="22"/>
          <w:u w:val="single"/>
        </w:rPr>
        <w:t xml:space="preserve"> </w:t>
      </w:r>
      <w:r w:rsidR="005F3FAD">
        <w:rPr>
          <w:sz w:val="22"/>
          <w:szCs w:val="22"/>
          <w:u w:val="single"/>
        </w:rPr>
        <w:t>March</w:t>
      </w:r>
      <w:r w:rsidR="0024091E">
        <w:rPr>
          <w:sz w:val="22"/>
          <w:szCs w:val="22"/>
          <w:u w:val="single"/>
        </w:rPr>
        <w:t xml:space="preserve"> </w:t>
      </w:r>
      <w:r>
        <w:rPr>
          <w:sz w:val="22"/>
          <w:szCs w:val="22"/>
          <w:u w:val="single"/>
        </w:rPr>
        <w:t>20</w:t>
      </w:r>
      <w:r w:rsidR="005F3FAD">
        <w:rPr>
          <w:sz w:val="22"/>
          <w:szCs w:val="22"/>
          <w:u w:val="single"/>
        </w:rPr>
        <w:t>10</w:t>
      </w:r>
      <w:r>
        <w:rPr>
          <w:sz w:val="22"/>
          <w:szCs w:val="22"/>
        </w:rPr>
        <w:tab/>
      </w:r>
      <w:r w:rsidR="002B3991">
        <w:rPr>
          <w:sz w:val="22"/>
          <w:szCs w:val="22"/>
        </w:rPr>
        <w:t xml:space="preserve">  </w:t>
      </w:r>
      <w:r w:rsidR="00C506D4">
        <w:rPr>
          <w:sz w:val="22"/>
          <w:szCs w:val="22"/>
        </w:rPr>
        <w:t xml:space="preserve">  </w:t>
      </w:r>
      <w:r w:rsidR="00664662">
        <w:rPr>
          <w:sz w:val="22"/>
          <w:szCs w:val="22"/>
        </w:rPr>
        <w:t xml:space="preserve"> </w:t>
      </w:r>
      <w:r w:rsidR="00FB783A">
        <w:rPr>
          <w:sz w:val="22"/>
          <w:szCs w:val="22"/>
        </w:rPr>
        <w:t xml:space="preserve">  </w:t>
      </w:r>
      <w:r w:rsidR="006B76D4">
        <w:rPr>
          <w:sz w:val="22"/>
          <w:szCs w:val="22"/>
        </w:rPr>
        <w:t xml:space="preserve"> </w:t>
      </w:r>
      <w:r w:rsidR="005F3FAD">
        <w:rPr>
          <w:sz w:val="22"/>
          <w:szCs w:val="22"/>
        </w:rPr>
        <w:t xml:space="preserve">   </w:t>
      </w:r>
      <w:r>
        <w:rPr>
          <w:sz w:val="22"/>
          <w:szCs w:val="22"/>
          <w:u w:val="single"/>
        </w:rPr>
        <w:t>3</w:t>
      </w:r>
      <w:r w:rsidR="007810D7">
        <w:rPr>
          <w:sz w:val="22"/>
          <w:szCs w:val="22"/>
          <w:u w:val="single"/>
        </w:rPr>
        <w:t>1</w:t>
      </w:r>
      <w:r>
        <w:rPr>
          <w:sz w:val="22"/>
          <w:szCs w:val="22"/>
          <w:u w:val="single"/>
        </w:rPr>
        <w:t xml:space="preserve"> </w:t>
      </w:r>
      <w:r w:rsidR="005F3FAD">
        <w:rPr>
          <w:sz w:val="22"/>
          <w:szCs w:val="22"/>
          <w:u w:val="single"/>
        </w:rPr>
        <w:t>March</w:t>
      </w:r>
      <w:r>
        <w:rPr>
          <w:sz w:val="22"/>
          <w:szCs w:val="22"/>
          <w:u w:val="single"/>
        </w:rPr>
        <w:t xml:space="preserve"> 200</w:t>
      </w:r>
      <w:r w:rsidR="005F3FAD">
        <w:rPr>
          <w:sz w:val="22"/>
          <w:szCs w:val="22"/>
          <w:u w:val="single"/>
        </w:rPr>
        <w:t>9</w:t>
      </w:r>
    </w:p>
    <w:p w:rsidR="00F672AB" w:rsidRDefault="00F672AB">
      <w:pPr>
        <w:rPr>
          <w:sz w:val="22"/>
          <w:szCs w:val="22"/>
          <w:u w:val="single"/>
        </w:rPr>
      </w:pPr>
    </w:p>
    <w:p w:rsidR="00F672AB" w:rsidRDefault="00F672AB">
      <w:pPr>
        <w:tabs>
          <w:tab w:val="left" w:pos="630"/>
        </w:tabs>
        <w:rPr>
          <w:sz w:val="22"/>
          <w:szCs w:val="22"/>
          <w:u w:val="single"/>
        </w:rPr>
      </w:pPr>
      <w:r>
        <w:rPr>
          <w:sz w:val="22"/>
          <w:szCs w:val="22"/>
        </w:rPr>
        <w:tab/>
      </w:r>
      <w:r>
        <w:rPr>
          <w:sz w:val="22"/>
          <w:szCs w:val="22"/>
        </w:rPr>
        <w:tab/>
      </w:r>
      <w:r>
        <w:rPr>
          <w:sz w:val="22"/>
          <w:szCs w:val="22"/>
          <w:u w:val="single"/>
        </w:rPr>
        <w:t>Basic</w:t>
      </w:r>
      <w:r w:rsidR="003A3662">
        <w:rPr>
          <w:sz w:val="22"/>
          <w:szCs w:val="22"/>
          <w:u w:val="single"/>
        </w:rPr>
        <w:t xml:space="preserve"> earnings per share</w:t>
      </w:r>
    </w:p>
    <w:p w:rsidR="00F672AB" w:rsidRDefault="00E44287">
      <w:pPr>
        <w:tabs>
          <w:tab w:val="left" w:pos="630"/>
        </w:tabs>
        <w:rPr>
          <w:sz w:val="22"/>
          <w:szCs w:val="22"/>
        </w:rPr>
      </w:pPr>
      <w:r>
        <w:rPr>
          <w:sz w:val="22"/>
          <w:szCs w:val="22"/>
        </w:rPr>
        <w:tab/>
      </w:r>
      <w:r>
        <w:rPr>
          <w:sz w:val="22"/>
          <w:szCs w:val="22"/>
        </w:rPr>
        <w:tab/>
      </w:r>
      <w:r w:rsidR="00664662">
        <w:rPr>
          <w:sz w:val="22"/>
          <w:szCs w:val="22"/>
        </w:rPr>
        <w:t>Profit</w:t>
      </w:r>
      <w:r w:rsidR="00565128">
        <w:rPr>
          <w:sz w:val="22"/>
          <w:szCs w:val="22"/>
        </w:rPr>
        <w:t>/(loss)</w:t>
      </w:r>
      <w:r w:rsidR="000E159A">
        <w:rPr>
          <w:sz w:val="22"/>
          <w:szCs w:val="22"/>
        </w:rPr>
        <w:t xml:space="preserve"> </w:t>
      </w:r>
      <w:r w:rsidR="00F672AB">
        <w:rPr>
          <w:sz w:val="22"/>
          <w:szCs w:val="22"/>
        </w:rPr>
        <w:t>for the period (RM’000)</w:t>
      </w:r>
      <w:r w:rsidR="00F672AB">
        <w:rPr>
          <w:sz w:val="22"/>
          <w:szCs w:val="22"/>
        </w:rPr>
        <w:tab/>
        <w:t xml:space="preserve"> </w:t>
      </w:r>
      <w:r w:rsidR="00062619">
        <w:rPr>
          <w:sz w:val="22"/>
          <w:szCs w:val="22"/>
        </w:rPr>
        <w:t xml:space="preserve">         </w:t>
      </w:r>
      <w:r w:rsidR="000E159A">
        <w:rPr>
          <w:sz w:val="22"/>
          <w:szCs w:val="22"/>
        </w:rPr>
        <w:t xml:space="preserve"> </w:t>
      </w:r>
      <w:r w:rsidR="00055DAD">
        <w:rPr>
          <w:sz w:val="22"/>
          <w:szCs w:val="22"/>
        </w:rPr>
        <w:t xml:space="preserve">   </w:t>
      </w:r>
      <w:r w:rsidR="00565128">
        <w:rPr>
          <w:sz w:val="22"/>
          <w:szCs w:val="22"/>
        </w:rPr>
        <w:t xml:space="preserve"> </w:t>
      </w:r>
      <w:r>
        <w:rPr>
          <w:sz w:val="22"/>
          <w:szCs w:val="22"/>
        </w:rPr>
        <w:t xml:space="preserve">   </w:t>
      </w:r>
      <w:r w:rsidR="00664662">
        <w:rPr>
          <w:sz w:val="22"/>
          <w:szCs w:val="22"/>
        </w:rPr>
        <w:t xml:space="preserve"> </w:t>
      </w:r>
      <w:r w:rsidR="00565128">
        <w:rPr>
          <w:sz w:val="22"/>
          <w:szCs w:val="22"/>
        </w:rPr>
        <w:t xml:space="preserve"> </w:t>
      </w:r>
      <w:r w:rsidR="003623E8">
        <w:rPr>
          <w:sz w:val="22"/>
          <w:szCs w:val="22"/>
        </w:rPr>
        <w:t xml:space="preserve">  </w:t>
      </w:r>
      <w:r w:rsidR="00D4734B">
        <w:rPr>
          <w:sz w:val="22"/>
          <w:szCs w:val="22"/>
        </w:rPr>
        <w:t xml:space="preserve"> </w:t>
      </w:r>
      <w:r w:rsidR="00565128">
        <w:rPr>
          <w:sz w:val="22"/>
          <w:szCs w:val="22"/>
        </w:rPr>
        <w:t>(1,38</w:t>
      </w:r>
      <w:r w:rsidR="0093545C">
        <w:rPr>
          <w:sz w:val="22"/>
          <w:szCs w:val="22"/>
        </w:rPr>
        <w:t>1</w:t>
      </w:r>
      <w:r w:rsidR="00565128">
        <w:rPr>
          <w:sz w:val="22"/>
          <w:szCs w:val="22"/>
        </w:rPr>
        <w:t>)</w:t>
      </w:r>
      <w:r w:rsidR="007107DB">
        <w:rPr>
          <w:sz w:val="22"/>
          <w:szCs w:val="22"/>
        </w:rPr>
        <w:tab/>
      </w:r>
      <w:r w:rsidR="007107DB">
        <w:rPr>
          <w:sz w:val="22"/>
          <w:szCs w:val="22"/>
        </w:rPr>
        <w:tab/>
      </w:r>
      <w:r w:rsidR="00A42A02">
        <w:rPr>
          <w:sz w:val="22"/>
          <w:szCs w:val="22"/>
        </w:rPr>
        <w:t xml:space="preserve"> </w:t>
      </w:r>
      <w:r w:rsidR="008D02F1">
        <w:rPr>
          <w:sz w:val="22"/>
          <w:szCs w:val="22"/>
        </w:rPr>
        <w:t xml:space="preserve">  </w:t>
      </w:r>
      <w:r w:rsidR="006E6F2C">
        <w:rPr>
          <w:sz w:val="22"/>
          <w:szCs w:val="22"/>
        </w:rPr>
        <w:t xml:space="preserve">         </w:t>
      </w:r>
      <w:r w:rsidR="00800753">
        <w:rPr>
          <w:sz w:val="22"/>
          <w:szCs w:val="22"/>
        </w:rPr>
        <w:t xml:space="preserve"> </w:t>
      </w:r>
      <w:r w:rsidR="00762D25">
        <w:rPr>
          <w:sz w:val="22"/>
          <w:szCs w:val="22"/>
        </w:rPr>
        <w:t>5</w:t>
      </w:r>
      <w:r w:rsidR="008D02F1">
        <w:rPr>
          <w:sz w:val="22"/>
          <w:szCs w:val="22"/>
        </w:rPr>
        <w:t>,</w:t>
      </w:r>
      <w:r w:rsidR="00762D25">
        <w:rPr>
          <w:sz w:val="22"/>
          <w:szCs w:val="22"/>
        </w:rPr>
        <w:t>36</w:t>
      </w:r>
      <w:r w:rsidR="00800753">
        <w:rPr>
          <w:sz w:val="22"/>
          <w:szCs w:val="22"/>
        </w:rPr>
        <w:t>4</w:t>
      </w:r>
    </w:p>
    <w:p w:rsidR="00F672AB" w:rsidRDefault="00F672AB">
      <w:pPr>
        <w:tabs>
          <w:tab w:val="left" w:pos="630"/>
        </w:tabs>
        <w:rPr>
          <w:sz w:val="22"/>
          <w:szCs w:val="22"/>
        </w:rPr>
      </w:pPr>
      <w:r>
        <w:rPr>
          <w:sz w:val="22"/>
          <w:szCs w:val="22"/>
        </w:rPr>
        <w:tab/>
      </w:r>
      <w:r>
        <w:rPr>
          <w:sz w:val="22"/>
          <w:szCs w:val="22"/>
        </w:rPr>
        <w:tab/>
      </w:r>
      <w:r>
        <w:rPr>
          <w:sz w:val="22"/>
          <w:szCs w:val="22"/>
        </w:rPr>
        <w:tab/>
      </w:r>
    </w:p>
    <w:p w:rsidR="00EC07E1" w:rsidRDefault="00EC07E1" w:rsidP="00EC07E1">
      <w:pPr>
        <w:tabs>
          <w:tab w:val="left" w:pos="630"/>
        </w:tabs>
        <w:rPr>
          <w:sz w:val="22"/>
          <w:szCs w:val="22"/>
        </w:rPr>
      </w:pPr>
      <w:r>
        <w:rPr>
          <w:sz w:val="22"/>
          <w:szCs w:val="22"/>
        </w:rPr>
        <w:t xml:space="preserve">          </w:t>
      </w:r>
      <w:r w:rsidR="00FB783A">
        <w:rPr>
          <w:sz w:val="22"/>
          <w:szCs w:val="22"/>
        </w:rPr>
        <w:t xml:space="preserve"> </w:t>
      </w:r>
      <w:r>
        <w:rPr>
          <w:sz w:val="22"/>
          <w:szCs w:val="22"/>
        </w:rPr>
        <w:t xml:space="preserve">  Number of shares in issue during the</w:t>
      </w:r>
    </w:p>
    <w:p w:rsidR="00EC07E1" w:rsidRDefault="00EC07E1" w:rsidP="00EC07E1">
      <w:pPr>
        <w:tabs>
          <w:tab w:val="left" w:pos="630"/>
        </w:tabs>
        <w:rPr>
          <w:sz w:val="22"/>
          <w:szCs w:val="22"/>
        </w:rPr>
      </w:pPr>
      <w:r>
        <w:rPr>
          <w:sz w:val="22"/>
          <w:szCs w:val="22"/>
        </w:rPr>
        <w:tab/>
      </w:r>
      <w:r w:rsidR="00FB783A">
        <w:rPr>
          <w:sz w:val="22"/>
          <w:szCs w:val="22"/>
        </w:rPr>
        <w:t xml:space="preserve">    </w:t>
      </w:r>
      <w:r>
        <w:rPr>
          <w:sz w:val="22"/>
          <w:szCs w:val="22"/>
        </w:rPr>
        <w:t>period (‘000)</w:t>
      </w:r>
      <w:r>
        <w:rPr>
          <w:sz w:val="22"/>
          <w:szCs w:val="22"/>
        </w:rPr>
        <w:tab/>
      </w:r>
      <w:r>
        <w:rPr>
          <w:sz w:val="22"/>
          <w:szCs w:val="22"/>
        </w:rPr>
        <w:tab/>
      </w:r>
      <w:r>
        <w:rPr>
          <w:sz w:val="22"/>
          <w:szCs w:val="22"/>
        </w:rPr>
        <w:tab/>
      </w:r>
      <w:r>
        <w:rPr>
          <w:sz w:val="22"/>
          <w:szCs w:val="22"/>
        </w:rPr>
        <w:tab/>
        <w:t xml:space="preserve">           </w:t>
      </w:r>
      <w:r w:rsidR="00F63B7F">
        <w:rPr>
          <w:sz w:val="22"/>
          <w:szCs w:val="22"/>
        </w:rPr>
        <w:t xml:space="preserve"> </w:t>
      </w:r>
      <w:r w:rsidR="00FB783A">
        <w:rPr>
          <w:sz w:val="22"/>
          <w:szCs w:val="22"/>
        </w:rPr>
        <w:t xml:space="preserve">        </w:t>
      </w:r>
      <w:r>
        <w:rPr>
          <w:sz w:val="22"/>
          <w:szCs w:val="22"/>
        </w:rPr>
        <w:t xml:space="preserve">  60,000                     </w:t>
      </w:r>
      <w:r w:rsidR="002D7515">
        <w:rPr>
          <w:sz w:val="22"/>
          <w:szCs w:val="22"/>
        </w:rPr>
        <w:t xml:space="preserve">     </w:t>
      </w:r>
      <w:r w:rsidR="00417800">
        <w:rPr>
          <w:sz w:val="22"/>
          <w:szCs w:val="22"/>
        </w:rPr>
        <w:t xml:space="preserve"> </w:t>
      </w:r>
      <w:r>
        <w:rPr>
          <w:sz w:val="22"/>
          <w:szCs w:val="22"/>
        </w:rPr>
        <w:t xml:space="preserve">   60,000</w:t>
      </w:r>
    </w:p>
    <w:p w:rsidR="00EC07E1" w:rsidRDefault="00EC07E1">
      <w:pPr>
        <w:tabs>
          <w:tab w:val="left" w:pos="630"/>
        </w:tabs>
        <w:rPr>
          <w:sz w:val="22"/>
          <w:szCs w:val="22"/>
        </w:rPr>
      </w:pPr>
      <w:r>
        <w:rPr>
          <w:sz w:val="22"/>
          <w:szCs w:val="22"/>
        </w:rPr>
        <w:tab/>
      </w:r>
    </w:p>
    <w:p w:rsidR="00F672AB" w:rsidRDefault="00EC07E1">
      <w:pPr>
        <w:tabs>
          <w:tab w:val="left" w:pos="630"/>
        </w:tabs>
        <w:rPr>
          <w:sz w:val="22"/>
          <w:szCs w:val="22"/>
        </w:rPr>
      </w:pPr>
      <w:r>
        <w:rPr>
          <w:sz w:val="22"/>
          <w:szCs w:val="22"/>
        </w:rPr>
        <w:tab/>
      </w:r>
      <w:r>
        <w:rPr>
          <w:sz w:val="22"/>
          <w:szCs w:val="22"/>
        </w:rPr>
        <w:tab/>
        <w:t>W</w:t>
      </w:r>
      <w:r w:rsidR="00F672AB">
        <w:rPr>
          <w:sz w:val="22"/>
          <w:szCs w:val="22"/>
        </w:rPr>
        <w:t>eighted average number of shares</w:t>
      </w:r>
    </w:p>
    <w:p w:rsidR="00F672AB" w:rsidRDefault="00F672AB">
      <w:pPr>
        <w:tabs>
          <w:tab w:val="left" w:pos="630"/>
        </w:tabs>
        <w:rPr>
          <w:sz w:val="22"/>
          <w:szCs w:val="22"/>
        </w:rPr>
      </w:pPr>
      <w:r>
        <w:rPr>
          <w:sz w:val="22"/>
          <w:szCs w:val="22"/>
        </w:rPr>
        <w:tab/>
      </w:r>
      <w:r>
        <w:rPr>
          <w:sz w:val="22"/>
          <w:szCs w:val="22"/>
        </w:rPr>
        <w:tab/>
      </w:r>
      <w:r w:rsidR="00FB783A">
        <w:rPr>
          <w:sz w:val="22"/>
          <w:szCs w:val="22"/>
        </w:rPr>
        <w:t xml:space="preserve">   </w:t>
      </w:r>
      <w:r>
        <w:rPr>
          <w:sz w:val="22"/>
          <w:szCs w:val="22"/>
        </w:rPr>
        <w:t>in issue (‘000)</w:t>
      </w:r>
      <w:r>
        <w:rPr>
          <w:sz w:val="22"/>
          <w:szCs w:val="22"/>
        </w:rPr>
        <w:tab/>
      </w:r>
      <w:r>
        <w:rPr>
          <w:sz w:val="22"/>
          <w:szCs w:val="22"/>
        </w:rPr>
        <w:tab/>
      </w:r>
      <w:r>
        <w:rPr>
          <w:sz w:val="22"/>
          <w:szCs w:val="22"/>
        </w:rPr>
        <w:tab/>
      </w:r>
      <w:r>
        <w:rPr>
          <w:sz w:val="22"/>
          <w:szCs w:val="22"/>
        </w:rPr>
        <w:tab/>
        <w:t xml:space="preserve">   </w:t>
      </w:r>
      <w:r w:rsidR="00F63B7F">
        <w:rPr>
          <w:sz w:val="22"/>
          <w:szCs w:val="22"/>
        </w:rPr>
        <w:t xml:space="preserve"> </w:t>
      </w:r>
      <w:r>
        <w:rPr>
          <w:sz w:val="22"/>
          <w:szCs w:val="22"/>
        </w:rPr>
        <w:t xml:space="preserve">   </w:t>
      </w:r>
      <w:r w:rsidR="00FB783A">
        <w:rPr>
          <w:sz w:val="22"/>
          <w:szCs w:val="22"/>
        </w:rPr>
        <w:t xml:space="preserve">            </w:t>
      </w:r>
      <w:r>
        <w:rPr>
          <w:sz w:val="22"/>
          <w:szCs w:val="22"/>
        </w:rPr>
        <w:t xml:space="preserve"> </w:t>
      </w:r>
      <w:r w:rsidR="00FB783A">
        <w:rPr>
          <w:sz w:val="22"/>
          <w:szCs w:val="22"/>
        </w:rPr>
        <w:t xml:space="preserve"> </w:t>
      </w:r>
      <w:r>
        <w:rPr>
          <w:sz w:val="22"/>
          <w:szCs w:val="22"/>
        </w:rPr>
        <w:t xml:space="preserve"> </w:t>
      </w:r>
      <w:r w:rsidR="002B3991">
        <w:rPr>
          <w:sz w:val="22"/>
          <w:szCs w:val="22"/>
        </w:rPr>
        <w:t>60,000</w:t>
      </w:r>
      <w:r>
        <w:rPr>
          <w:sz w:val="22"/>
          <w:szCs w:val="22"/>
        </w:rPr>
        <w:t xml:space="preserve">                      </w:t>
      </w:r>
      <w:r w:rsidR="002D7515">
        <w:rPr>
          <w:sz w:val="22"/>
          <w:szCs w:val="22"/>
        </w:rPr>
        <w:t xml:space="preserve">     </w:t>
      </w:r>
      <w:r>
        <w:rPr>
          <w:sz w:val="22"/>
          <w:szCs w:val="22"/>
        </w:rPr>
        <w:t xml:space="preserve">   </w:t>
      </w:r>
      <w:r w:rsidR="00417800">
        <w:rPr>
          <w:sz w:val="22"/>
          <w:szCs w:val="22"/>
        </w:rPr>
        <w:t>60,000</w:t>
      </w:r>
    </w:p>
    <w:p w:rsidR="00F672AB" w:rsidRDefault="00F672AB">
      <w:pPr>
        <w:tabs>
          <w:tab w:val="left" w:pos="630"/>
        </w:tabs>
        <w:rPr>
          <w:sz w:val="22"/>
          <w:szCs w:val="22"/>
        </w:rPr>
      </w:pPr>
      <w:r>
        <w:rPr>
          <w:sz w:val="22"/>
          <w:szCs w:val="22"/>
        </w:rPr>
        <w:tab/>
      </w:r>
    </w:p>
    <w:p w:rsidR="00F672AB" w:rsidRDefault="00F672AB">
      <w:pPr>
        <w:tabs>
          <w:tab w:val="left" w:pos="630"/>
        </w:tabs>
        <w:rPr>
          <w:sz w:val="22"/>
          <w:szCs w:val="22"/>
        </w:rPr>
      </w:pPr>
      <w:r>
        <w:rPr>
          <w:sz w:val="22"/>
          <w:szCs w:val="22"/>
        </w:rPr>
        <w:tab/>
      </w:r>
      <w:r>
        <w:rPr>
          <w:sz w:val="22"/>
          <w:szCs w:val="22"/>
        </w:rPr>
        <w:tab/>
        <w:t xml:space="preserve">Basic </w:t>
      </w:r>
      <w:r w:rsidR="003A3662">
        <w:rPr>
          <w:sz w:val="22"/>
          <w:szCs w:val="22"/>
        </w:rPr>
        <w:t>earnings</w:t>
      </w:r>
      <w:r>
        <w:rPr>
          <w:sz w:val="22"/>
          <w:szCs w:val="22"/>
        </w:rPr>
        <w:t xml:space="preserve"> per share (sen)</w:t>
      </w:r>
      <w:r>
        <w:rPr>
          <w:sz w:val="22"/>
          <w:szCs w:val="22"/>
        </w:rPr>
        <w:tab/>
      </w:r>
      <w:r w:rsidR="00062619">
        <w:rPr>
          <w:sz w:val="22"/>
          <w:szCs w:val="22"/>
        </w:rPr>
        <w:t xml:space="preserve">             </w:t>
      </w:r>
      <w:r>
        <w:rPr>
          <w:sz w:val="22"/>
          <w:szCs w:val="22"/>
        </w:rPr>
        <w:t xml:space="preserve">   </w:t>
      </w:r>
      <w:r w:rsidR="00F63B7F">
        <w:rPr>
          <w:sz w:val="22"/>
          <w:szCs w:val="22"/>
        </w:rPr>
        <w:t xml:space="preserve"> </w:t>
      </w:r>
      <w:r>
        <w:rPr>
          <w:sz w:val="22"/>
          <w:szCs w:val="22"/>
        </w:rPr>
        <w:t xml:space="preserve"> </w:t>
      </w:r>
      <w:r w:rsidR="00371A87">
        <w:rPr>
          <w:sz w:val="22"/>
          <w:szCs w:val="22"/>
        </w:rPr>
        <w:t xml:space="preserve"> </w:t>
      </w:r>
      <w:r w:rsidR="003A3662">
        <w:rPr>
          <w:sz w:val="22"/>
          <w:szCs w:val="22"/>
        </w:rPr>
        <w:t xml:space="preserve">      </w:t>
      </w:r>
      <w:r>
        <w:rPr>
          <w:sz w:val="22"/>
          <w:szCs w:val="22"/>
        </w:rPr>
        <w:t xml:space="preserve">  </w:t>
      </w:r>
      <w:r w:rsidR="00913051">
        <w:rPr>
          <w:sz w:val="22"/>
          <w:szCs w:val="22"/>
        </w:rPr>
        <w:t xml:space="preserve"> </w:t>
      </w:r>
      <w:r w:rsidR="00637E1B">
        <w:rPr>
          <w:sz w:val="22"/>
          <w:szCs w:val="22"/>
        </w:rPr>
        <w:t xml:space="preserve"> </w:t>
      </w:r>
      <w:r w:rsidR="00FB783A">
        <w:rPr>
          <w:sz w:val="22"/>
          <w:szCs w:val="22"/>
        </w:rPr>
        <w:t xml:space="preserve">      </w:t>
      </w:r>
      <w:r w:rsidR="008D02F1">
        <w:rPr>
          <w:sz w:val="22"/>
          <w:szCs w:val="22"/>
        </w:rPr>
        <w:t xml:space="preserve"> </w:t>
      </w:r>
      <w:r w:rsidR="00637E1B">
        <w:rPr>
          <w:sz w:val="22"/>
          <w:szCs w:val="22"/>
        </w:rPr>
        <w:t xml:space="preserve"> </w:t>
      </w:r>
      <w:r w:rsidR="00D4734B">
        <w:rPr>
          <w:sz w:val="22"/>
          <w:szCs w:val="22"/>
        </w:rPr>
        <w:t xml:space="preserve"> </w:t>
      </w:r>
      <w:r w:rsidR="00565128">
        <w:rPr>
          <w:sz w:val="22"/>
          <w:szCs w:val="22"/>
        </w:rPr>
        <w:t>(2</w:t>
      </w:r>
      <w:r w:rsidR="00D4734B">
        <w:rPr>
          <w:sz w:val="22"/>
          <w:szCs w:val="22"/>
        </w:rPr>
        <w:t>.</w:t>
      </w:r>
      <w:r w:rsidR="00565128">
        <w:rPr>
          <w:sz w:val="22"/>
          <w:szCs w:val="22"/>
        </w:rPr>
        <w:t>30)</w:t>
      </w:r>
      <w:r w:rsidR="00622AD8">
        <w:rPr>
          <w:sz w:val="22"/>
          <w:szCs w:val="22"/>
        </w:rPr>
        <w:t xml:space="preserve"> </w:t>
      </w:r>
      <w:r w:rsidR="007107DB">
        <w:rPr>
          <w:sz w:val="22"/>
          <w:szCs w:val="22"/>
        </w:rPr>
        <w:tab/>
      </w:r>
      <w:r w:rsidR="007107DB">
        <w:rPr>
          <w:sz w:val="22"/>
          <w:szCs w:val="22"/>
        </w:rPr>
        <w:tab/>
        <w:t xml:space="preserve">  </w:t>
      </w:r>
      <w:r w:rsidR="00D4734B">
        <w:rPr>
          <w:sz w:val="22"/>
          <w:szCs w:val="22"/>
        </w:rPr>
        <w:t xml:space="preserve">          </w:t>
      </w:r>
      <w:r w:rsidR="007107DB">
        <w:rPr>
          <w:sz w:val="22"/>
          <w:szCs w:val="22"/>
        </w:rPr>
        <w:t xml:space="preserve"> </w:t>
      </w:r>
      <w:r w:rsidR="008D02F1">
        <w:rPr>
          <w:sz w:val="22"/>
          <w:szCs w:val="22"/>
        </w:rPr>
        <w:t xml:space="preserve">  </w:t>
      </w:r>
      <w:r w:rsidR="00762D25">
        <w:rPr>
          <w:sz w:val="22"/>
          <w:szCs w:val="22"/>
        </w:rPr>
        <w:t>8</w:t>
      </w:r>
      <w:r w:rsidR="008D02F1">
        <w:rPr>
          <w:sz w:val="22"/>
          <w:szCs w:val="22"/>
        </w:rPr>
        <w:t>.</w:t>
      </w:r>
      <w:r w:rsidR="00762D25">
        <w:rPr>
          <w:sz w:val="22"/>
          <w:szCs w:val="22"/>
        </w:rPr>
        <w:t>94</w:t>
      </w:r>
      <w:r>
        <w:rPr>
          <w:sz w:val="22"/>
          <w:szCs w:val="22"/>
        </w:rPr>
        <w:tab/>
      </w:r>
    </w:p>
    <w:p w:rsidR="003A3662" w:rsidRDefault="00F672AB">
      <w:pPr>
        <w:tabs>
          <w:tab w:val="left" w:pos="360"/>
          <w:tab w:val="left" w:pos="810"/>
          <w:tab w:val="left" w:pos="5310"/>
          <w:tab w:val="left" w:pos="7740"/>
        </w:tabs>
        <w:rPr>
          <w:sz w:val="22"/>
          <w:szCs w:val="22"/>
        </w:rPr>
      </w:pPr>
      <w:r>
        <w:rPr>
          <w:sz w:val="22"/>
          <w:szCs w:val="22"/>
        </w:rPr>
        <w:tab/>
      </w:r>
      <w:r>
        <w:rPr>
          <w:sz w:val="22"/>
          <w:szCs w:val="22"/>
        </w:rPr>
        <w:tab/>
        <w:t xml:space="preserve">                                                                                                                                               </w:t>
      </w:r>
      <w:r>
        <w:rPr>
          <w:sz w:val="22"/>
          <w:szCs w:val="22"/>
        </w:rPr>
        <w:tab/>
      </w:r>
    </w:p>
    <w:p w:rsidR="005A7E22" w:rsidRDefault="005A7E22" w:rsidP="00664662">
      <w:pPr>
        <w:tabs>
          <w:tab w:val="left" w:pos="630"/>
        </w:tabs>
        <w:rPr>
          <w:sz w:val="22"/>
          <w:szCs w:val="22"/>
        </w:rPr>
      </w:pPr>
    </w:p>
    <w:p w:rsidR="00887A08" w:rsidRDefault="00887A08" w:rsidP="00887A08">
      <w:pPr>
        <w:pStyle w:val="Heading2"/>
        <w:tabs>
          <w:tab w:val="left" w:pos="810"/>
          <w:tab w:val="left" w:pos="5130"/>
          <w:tab w:val="left" w:pos="7740"/>
        </w:tabs>
        <w:rPr>
          <w:sz w:val="22"/>
          <w:szCs w:val="22"/>
        </w:rPr>
      </w:pPr>
    </w:p>
    <w:p w:rsidR="00684D11" w:rsidRDefault="00684D11" w:rsidP="00684D11"/>
    <w:p w:rsidR="00684D11" w:rsidRDefault="00684D11" w:rsidP="00684D11"/>
    <w:p w:rsidR="00684D11" w:rsidRDefault="00684D11" w:rsidP="00684D11"/>
    <w:p w:rsidR="00684D11" w:rsidRDefault="00684D11" w:rsidP="00684D11"/>
    <w:p w:rsidR="00684D11" w:rsidRDefault="00684D11" w:rsidP="00684D11"/>
    <w:p w:rsidR="00684D11" w:rsidRDefault="00684D11" w:rsidP="00684D11"/>
    <w:p w:rsidR="00684D11" w:rsidRDefault="00684D11" w:rsidP="00684D11"/>
    <w:p w:rsidR="00684D11" w:rsidRDefault="00684D11" w:rsidP="00684D11">
      <w:pPr>
        <w:pStyle w:val="Heading2"/>
        <w:tabs>
          <w:tab w:val="left" w:pos="810"/>
          <w:tab w:val="left" w:pos="5130"/>
          <w:tab w:val="left" w:pos="7740"/>
        </w:tabs>
        <w:rPr>
          <w:sz w:val="22"/>
          <w:szCs w:val="22"/>
        </w:rPr>
      </w:pPr>
      <w:r>
        <w:rPr>
          <w:sz w:val="22"/>
          <w:szCs w:val="22"/>
        </w:rPr>
        <w:lastRenderedPageBreak/>
        <w:t>B13</w:t>
      </w:r>
      <w:r>
        <w:rPr>
          <w:sz w:val="22"/>
          <w:szCs w:val="22"/>
        </w:rPr>
        <w:tab/>
        <w:t>Earnings per share (Con’t)</w:t>
      </w:r>
    </w:p>
    <w:p w:rsidR="00684D11" w:rsidRPr="00684D11" w:rsidRDefault="00684D11" w:rsidP="00684D11"/>
    <w:p w:rsidR="00887A08" w:rsidRDefault="001E7385" w:rsidP="00887A08">
      <w:pPr>
        <w:rPr>
          <w:sz w:val="22"/>
          <w:szCs w:val="22"/>
        </w:rPr>
      </w:pPr>
      <w:r>
        <w:rPr>
          <w:sz w:val="22"/>
          <w:szCs w:val="22"/>
        </w:rPr>
        <w:t xml:space="preserve">               </w:t>
      </w:r>
      <w:r w:rsidR="00887A08">
        <w:rPr>
          <w:sz w:val="22"/>
          <w:szCs w:val="22"/>
        </w:rPr>
        <w:t xml:space="preserve">                                                                              Current</w:t>
      </w:r>
      <w:r w:rsidR="00887A08">
        <w:rPr>
          <w:sz w:val="22"/>
          <w:szCs w:val="22"/>
        </w:rPr>
        <w:tab/>
        <w:t xml:space="preserve">             Comparative </w:t>
      </w:r>
    </w:p>
    <w:p w:rsidR="00887A08" w:rsidRDefault="00887A08" w:rsidP="00887A0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quarter ended                    quarter ended</w:t>
      </w:r>
    </w:p>
    <w:p w:rsidR="00887A08" w:rsidRDefault="00887A08" w:rsidP="00887A08">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t xml:space="preserve">                  </w:t>
      </w:r>
      <w:r w:rsidR="005F3FAD">
        <w:rPr>
          <w:sz w:val="22"/>
          <w:szCs w:val="22"/>
        </w:rPr>
        <w:t xml:space="preserve">   </w:t>
      </w:r>
      <w:r>
        <w:rPr>
          <w:sz w:val="22"/>
          <w:szCs w:val="22"/>
          <w:u w:val="single"/>
        </w:rPr>
        <w:t>3</w:t>
      </w:r>
      <w:r w:rsidR="00D4734B">
        <w:rPr>
          <w:sz w:val="22"/>
          <w:szCs w:val="22"/>
          <w:u w:val="single"/>
        </w:rPr>
        <w:t>1</w:t>
      </w:r>
      <w:r>
        <w:rPr>
          <w:sz w:val="22"/>
          <w:szCs w:val="22"/>
          <w:u w:val="single"/>
        </w:rPr>
        <w:t xml:space="preserve"> </w:t>
      </w:r>
      <w:r w:rsidR="005F3FAD">
        <w:rPr>
          <w:sz w:val="22"/>
          <w:szCs w:val="22"/>
          <w:u w:val="single"/>
        </w:rPr>
        <w:t>March</w:t>
      </w:r>
      <w:r>
        <w:rPr>
          <w:sz w:val="22"/>
          <w:szCs w:val="22"/>
          <w:u w:val="single"/>
        </w:rPr>
        <w:t xml:space="preserve"> 20</w:t>
      </w:r>
      <w:r w:rsidR="005F3FAD">
        <w:rPr>
          <w:sz w:val="22"/>
          <w:szCs w:val="22"/>
          <w:u w:val="single"/>
        </w:rPr>
        <w:t>10</w:t>
      </w:r>
      <w:r>
        <w:rPr>
          <w:sz w:val="22"/>
          <w:szCs w:val="22"/>
        </w:rPr>
        <w:tab/>
        <w:t xml:space="preserve">        </w:t>
      </w:r>
      <w:r w:rsidR="005F3FAD">
        <w:rPr>
          <w:sz w:val="22"/>
          <w:szCs w:val="22"/>
        </w:rPr>
        <w:t xml:space="preserve">   </w:t>
      </w:r>
      <w:r>
        <w:rPr>
          <w:sz w:val="22"/>
          <w:szCs w:val="22"/>
          <w:u w:val="single"/>
        </w:rPr>
        <w:t>3</w:t>
      </w:r>
      <w:r w:rsidR="00D4734B">
        <w:rPr>
          <w:sz w:val="22"/>
          <w:szCs w:val="22"/>
          <w:u w:val="single"/>
        </w:rPr>
        <w:t>1</w:t>
      </w:r>
      <w:r>
        <w:rPr>
          <w:sz w:val="22"/>
          <w:szCs w:val="22"/>
          <w:u w:val="single"/>
        </w:rPr>
        <w:t xml:space="preserve"> </w:t>
      </w:r>
      <w:r w:rsidR="005F3FAD">
        <w:rPr>
          <w:sz w:val="22"/>
          <w:szCs w:val="22"/>
          <w:u w:val="single"/>
        </w:rPr>
        <w:t>March</w:t>
      </w:r>
      <w:r>
        <w:rPr>
          <w:sz w:val="22"/>
          <w:szCs w:val="22"/>
          <w:u w:val="single"/>
        </w:rPr>
        <w:t xml:space="preserve"> 200</w:t>
      </w:r>
      <w:r w:rsidR="005F3FAD">
        <w:rPr>
          <w:sz w:val="22"/>
          <w:szCs w:val="22"/>
          <w:u w:val="single"/>
        </w:rPr>
        <w:t>9</w:t>
      </w:r>
    </w:p>
    <w:p w:rsidR="00887A08" w:rsidRDefault="001E7385" w:rsidP="00664662">
      <w:pPr>
        <w:tabs>
          <w:tab w:val="left" w:pos="630"/>
        </w:tabs>
        <w:rPr>
          <w:sz w:val="22"/>
          <w:szCs w:val="22"/>
          <w:u w:val="single"/>
        </w:rPr>
      </w:pPr>
      <w:r>
        <w:rPr>
          <w:sz w:val="22"/>
          <w:szCs w:val="22"/>
        </w:rPr>
        <w:t xml:space="preserve">                                                       </w:t>
      </w:r>
    </w:p>
    <w:p w:rsidR="00691C84" w:rsidRDefault="00691C84" w:rsidP="00691C84">
      <w:pPr>
        <w:tabs>
          <w:tab w:val="left" w:pos="630"/>
        </w:tabs>
        <w:rPr>
          <w:sz w:val="22"/>
          <w:szCs w:val="22"/>
          <w:u w:val="single"/>
        </w:rPr>
      </w:pPr>
      <w:r>
        <w:rPr>
          <w:sz w:val="22"/>
          <w:szCs w:val="22"/>
        </w:rPr>
        <w:tab/>
      </w:r>
      <w:r>
        <w:rPr>
          <w:sz w:val="22"/>
          <w:szCs w:val="22"/>
        </w:rPr>
        <w:tab/>
      </w:r>
      <w:r>
        <w:rPr>
          <w:sz w:val="22"/>
          <w:szCs w:val="22"/>
          <w:u w:val="single"/>
        </w:rPr>
        <w:t>Diluted earnings per share</w:t>
      </w:r>
    </w:p>
    <w:p w:rsidR="00691C84" w:rsidRDefault="00691C84" w:rsidP="00691C84">
      <w:pPr>
        <w:tabs>
          <w:tab w:val="left" w:pos="630"/>
        </w:tabs>
        <w:rPr>
          <w:sz w:val="22"/>
          <w:szCs w:val="22"/>
        </w:rPr>
      </w:pPr>
      <w:r>
        <w:rPr>
          <w:sz w:val="22"/>
          <w:szCs w:val="22"/>
        </w:rPr>
        <w:tab/>
      </w:r>
      <w:r>
        <w:rPr>
          <w:sz w:val="22"/>
          <w:szCs w:val="22"/>
        </w:rPr>
        <w:tab/>
        <w:t>Profit</w:t>
      </w:r>
      <w:r w:rsidR="00565128">
        <w:rPr>
          <w:sz w:val="22"/>
          <w:szCs w:val="22"/>
        </w:rPr>
        <w:t>/(loss)</w:t>
      </w:r>
      <w:r>
        <w:rPr>
          <w:sz w:val="22"/>
          <w:szCs w:val="22"/>
        </w:rPr>
        <w:t xml:space="preserve"> for the period (RM’000)        </w:t>
      </w:r>
      <w:r w:rsidR="00055DAD">
        <w:rPr>
          <w:sz w:val="22"/>
          <w:szCs w:val="22"/>
        </w:rPr>
        <w:t xml:space="preserve">    </w:t>
      </w:r>
      <w:r>
        <w:rPr>
          <w:sz w:val="22"/>
          <w:szCs w:val="22"/>
        </w:rPr>
        <w:t xml:space="preserve">      </w:t>
      </w:r>
      <w:r>
        <w:rPr>
          <w:sz w:val="22"/>
          <w:szCs w:val="22"/>
        </w:rPr>
        <w:tab/>
        <w:t xml:space="preserve">    </w:t>
      </w:r>
      <w:r w:rsidR="002D7515">
        <w:rPr>
          <w:sz w:val="22"/>
          <w:szCs w:val="22"/>
        </w:rPr>
        <w:t xml:space="preserve"> </w:t>
      </w:r>
      <w:r>
        <w:rPr>
          <w:sz w:val="22"/>
          <w:szCs w:val="22"/>
        </w:rPr>
        <w:t xml:space="preserve">  </w:t>
      </w:r>
      <w:r w:rsidR="00FB783A">
        <w:rPr>
          <w:sz w:val="22"/>
          <w:szCs w:val="22"/>
        </w:rPr>
        <w:t xml:space="preserve">  </w:t>
      </w:r>
      <w:r>
        <w:rPr>
          <w:sz w:val="22"/>
          <w:szCs w:val="22"/>
        </w:rPr>
        <w:t xml:space="preserve"> </w:t>
      </w:r>
      <w:r w:rsidR="00565128">
        <w:rPr>
          <w:sz w:val="22"/>
          <w:szCs w:val="22"/>
        </w:rPr>
        <w:t>(</w:t>
      </w:r>
      <w:r w:rsidR="00DF62ED">
        <w:rPr>
          <w:sz w:val="22"/>
          <w:szCs w:val="22"/>
        </w:rPr>
        <w:t>1</w:t>
      </w:r>
      <w:r w:rsidR="00D4734B">
        <w:rPr>
          <w:sz w:val="22"/>
          <w:szCs w:val="22"/>
        </w:rPr>
        <w:t>,</w:t>
      </w:r>
      <w:r w:rsidR="00565128">
        <w:rPr>
          <w:sz w:val="22"/>
          <w:szCs w:val="22"/>
        </w:rPr>
        <w:t>38</w:t>
      </w:r>
      <w:r w:rsidR="00062570">
        <w:rPr>
          <w:sz w:val="22"/>
          <w:szCs w:val="22"/>
        </w:rPr>
        <w:t>1</w:t>
      </w:r>
      <w:r w:rsidR="00565128">
        <w:rPr>
          <w:sz w:val="22"/>
          <w:szCs w:val="22"/>
        </w:rPr>
        <w:t>)</w:t>
      </w:r>
      <w:r>
        <w:rPr>
          <w:sz w:val="22"/>
          <w:szCs w:val="22"/>
        </w:rPr>
        <w:t xml:space="preserve"> </w:t>
      </w:r>
      <w:r>
        <w:rPr>
          <w:sz w:val="22"/>
          <w:szCs w:val="22"/>
        </w:rPr>
        <w:tab/>
      </w:r>
      <w:r>
        <w:rPr>
          <w:sz w:val="22"/>
          <w:szCs w:val="22"/>
        </w:rPr>
        <w:tab/>
      </w:r>
      <w:r w:rsidR="00D4734B">
        <w:rPr>
          <w:sz w:val="22"/>
          <w:szCs w:val="22"/>
        </w:rPr>
        <w:t xml:space="preserve">           </w:t>
      </w:r>
      <w:r>
        <w:rPr>
          <w:sz w:val="22"/>
          <w:szCs w:val="22"/>
        </w:rPr>
        <w:t xml:space="preserve">  </w:t>
      </w:r>
      <w:r w:rsidR="00762D25">
        <w:rPr>
          <w:sz w:val="22"/>
          <w:szCs w:val="22"/>
        </w:rPr>
        <w:t>5</w:t>
      </w:r>
      <w:r w:rsidR="008D02F1">
        <w:rPr>
          <w:sz w:val="22"/>
          <w:szCs w:val="22"/>
        </w:rPr>
        <w:t>,</w:t>
      </w:r>
      <w:r w:rsidR="00762D25">
        <w:rPr>
          <w:sz w:val="22"/>
          <w:szCs w:val="22"/>
        </w:rPr>
        <w:t>36</w:t>
      </w:r>
      <w:r w:rsidR="00800753">
        <w:rPr>
          <w:sz w:val="22"/>
          <w:szCs w:val="22"/>
        </w:rPr>
        <w:t>4</w:t>
      </w:r>
    </w:p>
    <w:p w:rsidR="00691C84" w:rsidRDefault="00691C84" w:rsidP="00FB783A">
      <w:pPr>
        <w:tabs>
          <w:tab w:val="left" w:pos="630"/>
          <w:tab w:val="left" w:pos="5010"/>
        </w:tabs>
        <w:rPr>
          <w:sz w:val="22"/>
          <w:szCs w:val="22"/>
        </w:rPr>
      </w:pPr>
      <w:r>
        <w:rPr>
          <w:sz w:val="22"/>
          <w:szCs w:val="22"/>
        </w:rPr>
        <w:tab/>
        <w:t xml:space="preserve">  Add : RCPS interest</w:t>
      </w:r>
      <w:r>
        <w:rPr>
          <w:sz w:val="22"/>
          <w:szCs w:val="22"/>
        </w:rPr>
        <w:tab/>
      </w:r>
      <w:r w:rsidR="00FB783A">
        <w:rPr>
          <w:sz w:val="22"/>
          <w:szCs w:val="22"/>
        </w:rPr>
        <w:t xml:space="preserve">      </w:t>
      </w:r>
      <w:r w:rsidR="002D7515">
        <w:rPr>
          <w:sz w:val="22"/>
          <w:szCs w:val="22"/>
        </w:rPr>
        <w:t xml:space="preserve"> </w:t>
      </w:r>
      <w:r w:rsidR="00FB783A">
        <w:rPr>
          <w:sz w:val="22"/>
          <w:szCs w:val="22"/>
        </w:rPr>
        <w:t xml:space="preserve">   </w:t>
      </w:r>
      <w:r w:rsidRPr="00250291">
        <w:rPr>
          <w:sz w:val="22"/>
          <w:szCs w:val="22"/>
          <w:u w:val="single"/>
        </w:rPr>
        <w:t xml:space="preserve">    </w:t>
      </w:r>
      <w:r w:rsidR="00DF62ED">
        <w:rPr>
          <w:sz w:val="22"/>
          <w:szCs w:val="22"/>
          <w:u w:val="single"/>
        </w:rPr>
        <w:t xml:space="preserve"> 14</w:t>
      </w:r>
      <w:r w:rsidR="00062570">
        <w:rPr>
          <w:sz w:val="22"/>
          <w:szCs w:val="22"/>
          <w:u w:val="single"/>
        </w:rPr>
        <w:t>8</w:t>
      </w:r>
      <w:r w:rsidRPr="002D7515">
        <w:rPr>
          <w:sz w:val="22"/>
          <w:szCs w:val="22"/>
        </w:rPr>
        <w:tab/>
      </w:r>
      <w:r>
        <w:rPr>
          <w:sz w:val="22"/>
          <w:szCs w:val="22"/>
        </w:rPr>
        <w:tab/>
      </w:r>
      <w:r w:rsidR="00D4734B">
        <w:rPr>
          <w:sz w:val="22"/>
          <w:szCs w:val="22"/>
        </w:rPr>
        <w:t xml:space="preserve">          </w:t>
      </w:r>
      <w:r w:rsidR="006F7F42">
        <w:rPr>
          <w:sz w:val="22"/>
          <w:szCs w:val="22"/>
        </w:rPr>
        <w:t xml:space="preserve"> </w:t>
      </w:r>
      <w:r>
        <w:rPr>
          <w:sz w:val="22"/>
          <w:szCs w:val="22"/>
        </w:rPr>
        <w:t xml:space="preserve"> </w:t>
      </w:r>
      <w:r w:rsidRPr="00250291">
        <w:rPr>
          <w:sz w:val="22"/>
          <w:szCs w:val="22"/>
          <w:u w:val="single"/>
        </w:rPr>
        <w:t xml:space="preserve">    </w:t>
      </w:r>
      <w:r w:rsidR="00800753">
        <w:rPr>
          <w:sz w:val="22"/>
          <w:szCs w:val="22"/>
          <w:u w:val="single"/>
        </w:rPr>
        <w:t>1</w:t>
      </w:r>
      <w:r w:rsidR="00762D25">
        <w:rPr>
          <w:sz w:val="22"/>
          <w:szCs w:val="22"/>
          <w:u w:val="single"/>
        </w:rPr>
        <w:t>41</w:t>
      </w:r>
    </w:p>
    <w:p w:rsidR="00691C84" w:rsidRPr="00250291" w:rsidRDefault="00691C84" w:rsidP="00691C84">
      <w:pPr>
        <w:tabs>
          <w:tab w:val="left" w:pos="630"/>
        </w:tabs>
        <w:rPr>
          <w:sz w:val="22"/>
          <w:szCs w:val="22"/>
          <w:u w:val="single"/>
        </w:rPr>
      </w:pPr>
      <w:r>
        <w:rPr>
          <w:sz w:val="22"/>
          <w:szCs w:val="22"/>
        </w:rPr>
        <w:tab/>
        <w:t xml:space="preserve">  Profit for computation of diluted EPS</w:t>
      </w:r>
      <w:r>
        <w:rPr>
          <w:sz w:val="22"/>
          <w:szCs w:val="22"/>
        </w:rPr>
        <w:tab/>
      </w:r>
      <w:r w:rsidR="00055DAD">
        <w:rPr>
          <w:sz w:val="22"/>
          <w:szCs w:val="22"/>
        </w:rPr>
        <w:t xml:space="preserve">              </w:t>
      </w:r>
      <w:r w:rsidR="006F7F42">
        <w:rPr>
          <w:sz w:val="22"/>
          <w:szCs w:val="22"/>
        </w:rPr>
        <w:t xml:space="preserve">  </w:t>
      </w:r>
      <w:r w:rsidR="00887A08">
        <w:rPr>
          <w:sz w:val="22"/>
          <w:szCs w:val="22"/>
        </w:rPr>
        <w:t xml:space="preserve">  </w:t>
      </w:r>
      <w:r w:rsidR="006F7F42">
        <w:rPr>
          <w:sz w:val="22"/>
          <w:szCs w:val="22"/>
        </w:rPr>
        <w:t xml:space="preserve">   </w:t>
      </w:r>
      <w:r w:rsidR="00FB783A">
        <w:rPr>
          <w:sz w:val="22"/>
          <w:szCs w:val="22"/>
        </w:rPr>
        <w:t xml:space="preserve"> </w:t>
      </w:r>
      <w:r w:rsidR="00D4734B" w:rsidRPr="00565128">
        <w:rPr>
          <w:sz w:val="22"/>
          <w:szCs w:val="22"/>
          <w:u w:val="single"/>
        </w:rPr>
        <w:t xml:space="preserve"> </w:t>
      </w:r>
      <w:r w:rsidR="00565128" w:rsidRPr="00565128">
        <w:rPr>
          <w:sz w:val="22"/>
          <w:szCs w:val="22"/>
          <w:u w:val="single"/>
        </w:rPr>
        <w:t>(</w:t>
      </w:r>
      <w:r w:rsidR="00565128">
        <w:rPr>
          <w:sz w:val="22"/>
          <w:szCs w:val="22"/>
          <w:u w:val="single"/>
        </w:rPr>
        <w:t>1,233)</w:t>
      </w:r>
      <w:r>
        <w:rPr>
          <w:sz w:val="22"/>
          <w:szCs w:val="22"/>
        </w:rPr>
        <w:tab/>
        <w:t xml:space="preserve">               </w:t>
      </w:r>
      <w:r w:rsidR="00D4734B">
        <w:rPr>
          <w:sz w:val="22"/>
          <w:szCs w:val="22"/>
        </w:rPr>
        <w:t xml:space="preserve">          </w:t>
      </w:r>
      <w:r w:rsidR="00887A08" w:rsidRPr="007810D7">
        <w:rPr>
          <w:sz w:val="22"/>
          <w:szCs w:val="22"/>
          <w:u w:val="single"/>
        </w:rPr>
        <w:t xml:space="preserve"> </w:t>
      </w:r>
      <w:r w:rsidR="00762D25">
        <w:rPr>
          <w:sz w:val="22"/>
          <w:szCs w:val="22"/>
          <w:u w:val="single"/>
        </w:rPr>
        <w:t>5</w:t>
      </w:r>
      <w:r w:rsidR="00887A08" w:rsidRPr="007810D7">
        <w:rPr>
          <w:sz w:val="22"/>
          <w:szCs w:val="22"/>
          <w:u w:val="single"/>
        </w:rPr>
        <w:t>,</w:t>
      </w:r>
      <w:r w:rsidR="00762D25">
        <w:rPr>
          <w:sz w:val="22"/>
          <w:szCs w:val="22"/>
          <w:u w:val="single"/>
        </w:rPr>
        <w:t>50</w:t>
      </w:r>
      <w:r w:rsidR="00062570">
        <w:rPr>
          <w:sz w:val="22"/>
          <w:szCs w:val="22"/>
          <w:u w:val="single"/>
        </w:rPr>
        <w:t>5</w:t>
      </w:r>
    </w:p>
    <w:p w:rsidR="00A66B02" w:rsidRDefault="00A66B02" w:rsidP="003A3662">
      <w:pPr>
        <w:tabs>
          <w:tab w:val="left" w:pos="630"/>
        </w:tabs>
        <w:rPr>
          <w:sz w:val="22"/>
          <w:szCs w:val="22"/>
        </w:rPr>
      </w:pPr>
    </w:p>
    <w:p w:rsidR="00317CF8" w:rsidRDefault="00317CF8" w:rsidP="003A3662">
      <w:pPr>
        <w:tabs>
          <w:tab w:val="left" w:pos="630"/>
        </w:tabs>
        <w:rPr>
          <w:sz w:val="22"/>
          <w:szCs w:val="22"/>
        </w:rPr>
      </w:pPr>
    </w:p>
    <w:p w:rsidR="003A3662" w:rsidRDefault="003A3662" w:rsidP="003A3662">
      <w:pPr>
        <w:tabs>
          <w:tab w:val="left" w:pos="630"/>
        </w:tabs>
        <w:rPr>
          <w:sz w:val="22"/>
          <w:szCs w:val="22"/>
        </w:rPr>
      </w:pPr>
      <w:r>
        <w:rPr>
          <w:sz w:val="22"/>
          <w:szCs w:val="22"/>
        </w:rPr>
        <w:tab/>
      </w:r>
      <w:r>
        <w:rPr>
          <w:sz w:val="22"/>
          <w:szCs w:val="22"/>
        </w:rPr>
        <w:tab/>
        <w:t>Weighted average number of shares</w:t>
      </w:r>
    </w:p>
    <w:p w:rsidR="003A3662" w:rsidRDefault="003A3662" w:rsidP="003A3662">
      <w:pPr>
        <w:tabs>
          <w:tab w:val="left" w:pos="630"/>
        </w:tabs>
        <w:rPr>
          <w:sz w:val="22"/>
          <w:szCs w:val="22"/>
        </w:rPr>
      </w:pPr>
      <w:r>
        <w:rPr>
          <w:sz w:val="22"/>
          <w:szCs w:val="22"/>
        </w:rPr>
        <w:tab/>
      </w:r>
      <w:r w:rsidR="00FB783A">
        <w:rPr>
          <w:sz w:val="22"/>
          <w:szCs w:val="22"/>
        </w:rPr>
        <w:t xml:space="preserve">      </w:t>
      </w:r>
      <w:r>
        <w:rPr>
          <w:sz w:val="22"/>
          <w:szCs w:val="22"/>
        </w:rPr>
        <w:t>in issue (‘000)</w:t>
      </w:r>
      <w:r>
        <w:rPr>
          <w:sz w:val="22"/>
          <w:szCs w:val="22"/>
        </w:rPr>
        <w:tab/>
      </w:r>
      <w:r>
        <w:rPr>
          <w:sz w:val="22"/>
          <w:szCs w:val="22"/>
        </w:rPr>
        <w:tab/>
      </w:r>
      <w:r>
        <w:rPr>
          <w:sz w:val="22"/>
          <w:szCs w:val="22"/>
        </w:rPr>
        <w:tab/>
      </w:r>
      <w:r>
        <w:rPr>
          <w:sz w:val="22"/>
          <w:szCs w:val="22"/>
        </w:rPr>
        <w:tab/>
        <w:t xml:space="preserve">         60,000                      </w:t>
      </w:r>
      <w:r w:rsidR="002D7515">
        <w:rPr>
          <w:sz w:val="22"/>
          <w:szCs w:val="22"/>
        </w:rPr>
        <w:t xml:space="preserve"> </w:t>
      </w:r>
      <w:r>
        <w:rPr>
          <w:sz w:val="22"/>
          <w:szCs w:val="22"/>
        </w:rPr>
        <w:t xml:space="preserve">     </w:t>
      </w:r>
      <w:r w:rsidR="0018243E">
        <w:rPr>
          <w:sz w:val="22"/>
          <w:szCs w:val="22"/>
        </w:rPr>
        <w:t xml:space="preserve"> </w:t>
      </w:r>
      <w:r w:rsidR="002D7515">
        <w:rPr>
          <w:sz w:val="22"/>
          <w:szCs w:val="22"/>
        </w:rPr>
        <w:t xml:space="preserve"> </w:t>
      </w:r>
      <w:r w:rsidR="00417800">
        <w:rPr>
          <w:sz w:val="22"/>
          <w:szCs w:val="22"/>
        </w:rPr>
        <w:t>60,000</w:t>
      </w:r>
    </w:p>
    <w:p w:rsidR="003A3662" w:rsidRDefault="003A3662" w:rsidP="003A3662">
      <w:pPr>
        <w:tabs>
          <w:tab w:val="left" w:pos="630"/>
        </w:tabs>
        <w:rPr>
          <w:sz w:val="22"/>
          <w:szCs w:val="22"/>
        </w:rPr>
      </w:pPr>
      <w:r>
        <w:rPr>
          <w:sz w:val="22"/>
          <w:szCs w:val="22"/>
        </w:rPr>
        <w:tab/>
      </w:r>
    </w:p>
    <w:p w:rsidR="003A3662" w:rsidRDefault="003A3662" w:rsidP="003A3662">
      <w:pPr>
        <w:tabs>
          <w:tab w:val="left" w:pos="630"/>
        </w:tabs>
        <w:rPr>
          <w:sz w:val="22"/>
          <w:szCs w:val="22"/>
        </w:rPr>
      </w:pPr>
      <w:r>
        <w:rPr>
          <w:sz w:val="22"/>
          <w:szCs w:val="22"/>
        </w:rPr>
        <w:tab/>
      </w:r>
      <w:r>
        <w:rPr>
          <w:sz w:val="22"/>
          <w:szCs w:val="22"/>
        </w:rPr>
        <w:tab/>
        <w:t>Dilutive effect of conversion of Redeemable</w:t>
      </w:r>
    </w:p>
    <w:p w:rsidR="0093545C" w:rsidRDefault="00FB783A" w:rsidP="003A3662">
      <w:pPr>
        <w:tabs>
          <w:tab w:val="left" w:pos="630"/>
        </w:tabs>
        <w:rPr>
          <w:sz w:val="22"/>
          <w:szCs w:val="22"/>
        </w:rPr>
      </w:pPr>
      <w:r>
        <w:rPr>
          <w:sz w:val="22"/>
          <w:szCs w:val="22"/>
        </w:rPr>
        <w:t xml:space="preserve">               </w:t>
      </w:r>
      <w:r w:rsidR="003A3662">
        <w:rPr>
          <w:sz w:val="22"/>
          <w:szCs w:val="22"/>
        </w:rPr>
        <w:t xml:space="preserve">  Convertible Preference Shares (‘000)               </w:t>
      </w:r>
      <w:r w:rsidR="00F57085">
        <w:rPr>
          <w:sz w:val="22"/>
          <w:szCs w:val="22"/>
        </w:rPr>
        <w:t xml:space="preserve"> </w:t>
      </w:r>
      <w:r w:rsidR="003A3662">
        <w:rPr>
          <w:sz w:val="22"/>
          <w:szCs w:val="22"/>
        </w:rPr>
        <w:t xml:space="preserve"> </w:t>
      </w:r>
      <w:r>
        <w:rPr>
          <w:sz w:val="22"/>
          <w:szCs w:val="22"/>
        </w:rPr>
        <w:t xml:space="preserve">      </w:t>
      </w:r>
      <w:r w:rsidR="003A3662">
        <w:rPr>
          <w:sz w:val="22"/>
          <w:szCs w:val="22"/>
        </w:rPr>
        <w:t xml:space="preserve"> 10,000     </w:t>
      </w:r>
      <w:r w:rsidR="00250291">
        <w:rPr>
          <w:sz w:val="22"/>
          <w:szCs w:val="22"/>
        </w:rPr>
        <w:tab/>
      </w:r>
      <w:r w:rsidR="00250291">
        <w:rPr>
          <w:sz w:val="22"/>
          <w:szCs w:val="22"/>
        </w:rPr>
        <w:tab/>
      </w:r>
      <w:r w:rsidR="002D7515">
        <w:rPr>
          <w:sz w:val="22"/>
          <w:szCs w:val="22"/>
        </w:rPr>
        <w:t xml:space="preserve">          </w:t>
      </w:r>
      <w:r w:rsidR="00417800">
        <w:rPr>
          <w:sz w:val="22"/>
          <w:szCs w:val="22"/>
        </w:rPr>
        <w:t>10,000</w:t>
      </w:r>
      <w:r w:rsidR="003A3662">
        <w:rPr>
          <w:sz w:val="22"/>
          <w:szCs w:val="22"/>
        </w:rPr>
        <w:t xml:space="preserve">      </w:t>
      </w:r>
    </w:p>
    <w:p w:rsidR="0093545C" w:rsidRDefault="0093545C" w:rsidP="003A3662">
      <w:pPr>
        <w:tabs>
          <w:tab w:val="left" w:pos="630"/>
        </w:tabs>
        <w:rPr>
          <w:sz w:val="22"/>
          <w:szCs w:val="22"/>
        </w:rPr>
      </w:pPr>
    </w:p>
    <w:p w:rsidR="003A3662" w:rsidRDefault="0093545C" w:rsidP="003A3662">
      <w:pPr>
        <w:tabs>
          <w:tab w:val="left" w:pos="630"/>
        </w:tabs>
        <w:rPr>
          <w:sz w:val="22"/>
          <w:szCs w:val="22"/>
        </w:rPr>
      </w:pPr>
      <w:r>
        <w:rPr>
          <w:sz w:val="22"/>
          <w:szCs w:val="22"/>
        </w:rPr>
        <w:t xml:space="preserve">    </w:t>
      </w:r>
      <w:r w:rsidR="003A3662">
        <w:rPr>
          <w:sz w:val="22"/>
          <w:szCs w:val="22"/>
        </w:rPr>
        <w:t xml:space="preserve">         </w:t>
      </w:r>
      <w:r>
        <w:rPr>
          <w:sz w:val="22"/>
          <w:szCs w:val="22"/>
        </w:rPr>
        <w:t>Effect of conversion of ESOS at par value</w:t>
      </w:r>
      <w:r w:rsidR="003A3662">
        <w:rPr>
          <w:sz w:val="22"/>
          <w:szCs w:val="22"/>
        </w:rPr>
        <w:t xml:space="preserve">           </w:t>
      </w:r>
      <w:r>
        <w:rPr>
          <w:sz w:val="22"/>
          <w:szCs w:val="22"/>
        </w:rPr>
        <w:t xml:space="preserve">           7,969                               7,969</w:t>
      </w:r>
      <w:r w:rsidR="003A3662">
        <w:rPr>
          <w:sz w:val="22"/>
          <w:szCs w:val="22"/>
        </w:rPr>
        <w:t xml:space="preserve">  </w:t>
      </w:r>
    </w:p>
    <w:p w:rsidR="0093545C" w:rsidRDefault="0093545C" w:rsidP="003A3662">
      <w:pPr>
        <w:tabs>
          <w:tab w:val="left" w:pos="630"/>
        </w:tabs>
        <w:rPr>
          <w:sz w:val="22"/>
          <w:szCs w:val="22"/>
        </w:rPr>
      </w:pPr>
    </w:p>
    <w:p w:rsidR="003A3662" w:rsidRDefault="0093545C" w:rsidP="003A3662">
      <w:pPr>
        <w:tabs>
          <w:tab w:val="left" w:pos="630"/>
        </w:tabs>
        <w:rPr>
          <w:sz w:val="22"/>
          <w:szCs w:val="22"/>
        </w:rPr>
      </w:pPr>
      <w:r>
        <w:rPr>
          <w:sz w:val="22"/>
          <w:szCs w:val="22"/>
        </w:rPr>
        <w:t xml:space="preserve">   </w:t>
      </w:r>
      <w:r w:rsidR="003A3662">
        <w:rPr>
          <w:sz w:val="22"/>
          <w:szCs w:val="22"/>
        </w:rPr>
        <w:tab/>
        <w:t xml:space="preserve"> Diluted earnings per share (sen)</w:t>
      </w:r>
      <w:r w:rsidR="003A3662">
        <w:rPr>
          <w:sz w:val="22"/>
          <w:szCs w:val="22"/>
        </w:rPr>
        <w:tab/>
        <w:t xml:space="preserve">    </w:t>
      </w:r>
      <w:r w:rsidR="00062619">
        <w:rPr>
          <w:sz w:val="22"/>
          <w:szCs w:val="22"/>
        </w:rPr>
        <w:t xml:space="preserve">              </w:t>
      </w:r>
      <w:r w:rsidR="003A3662">
        <w:rPr>
          <w:sz w:val="22"/>
          <w:szCs w:val="22"/>
        </w:rPr>
        <w:t xml:space="preserve">         </w:t>
      </w:r>
      <w:r w:rsidR="00BE0F56">
        <w:rPr>
          <w:sz w:val="22"/>
          <w:szCs w:val="22"/>
        </w:rPr>
        <w:t xml:space="preserve"> </w:t>
      </w:r>
      <w:r w:rsidR="00664662">
        <w:rPr>
          <w:sz w:val="22"/>
          <w:szCs w:val="22"/>
        </w:rPr>
        <w:t xml:space="preserve"> </w:t>
      </w:r>
      <w:r w:rsidR="00A305F4">
        <w:rPr>
          <w:sz w:val="22"/>
          <w:szCs w:val="22"/>
        </w:rPr>
        <w:t xml:space="preserve"> </w:t>
      </w:r>
      <w:r w:rsidR="00FB783A">
        <w:rPr>
          <w:sz w:val="22"/>
          <w:szCs w:val="22"/>
        </w:rPr>
        <w:t xml:space="preserve">   </w:t>
      </w:r>
      <w:r w:rsidR="006E6F2C">
        <w:rPr>
          <w:sz w:val="22"/>
          <w:szCs w:val="22"/>
        </w:rPr>
        <w:t xml:space="preserve">  </w:t>
      </w:r>
      <w:r w:rsidR="00FB783A">
        <w:rPr>
          <w:sz w:val="22"/>
          <w:szCs w:val="22"/>
        </w:rPr>
        <w:t xml:space="preserve"> </w:t>
      </w:r>
      <w:r w:rsidR="00D4734B">
        <w:rPr>
          <w:sz w:val="22"/>
          <w:szCs w:val="22"/>
        </w:rPr>
        <w:t xml:space="preserve">  </w:t>
      </w:r>
      <w:r w:rsidR="00565128">
        <w:rPr>
          <w:sz w:val="22"/>
          <w:szCs w:val="22"/>
        </w:rPr>
        <w:t>(1</w:t>
      </w:r>
      <w:r w:rsidR="00D4734B">
        <w:rPr>
          <w:sz w:val="22"/>
          <w:szCs w:val="22"/>
        </w:rPr>
        <w:t>.</w:t>
      </w:r>
      <w:r>
        <w:rPr>
          <w:sz w:val="22"/>
          <w:szCs w:val="22"/>
        </w:rPr>
        <w:t>58</w:t>
      </w:r>
      <w:r w:rsidR="00565128">
        <w:rPr>
          <w:sz w:val="22"/>
          <w:szCs w:val="22"/>
        </w:rPr>
        <w:t>)</w:t>
      </w:r>
      <w:r w:rsidR="003A3662">
        <w:rPr>
          <w:sz w:val="22"/>
          <w:szCs w:val="22"/>
        </w:rPr>
        <w:tab/>
      </w:r>
      <w:r w:rsidR="003A3662">
        <w:rPr>
          <w:sz w:val="22"/>
          <w:szCs w:val="22"/>
        </w:rPr>
        <w:tab/>
      </w:r>
      <w:r w:rsidR="006E6F2C">
        <w:rPr>
          <w:sz w:val="22"/>
          <w:szCs w:val="22"/>
        </w:rPr>
        <w:t xml:space="preserve">           </w:t>
      </w:r>
      <w:r w:rsidR="00664662">
        <w:rPr>
          <w:sz w:val="22"/>
          <w:szCs w:val="22"/>
        </w:rPr>
        <w:t xml:space="preserve"> </w:t>
      </w:r>
      <w:r w:rsidR="00317CF8">
        <w:rPr>
          <w:sz w:val="22"/>
          <w:szCs w:val="22"/>
        </w:rPr>
        <w:t xml:space="preserve"> </w:t>
      </w:r>
      <w:r w:rsidR="00DE6AF8">
        <w:rPr>
          <w:sz w:val="22"/>
          <w:szCs w:val="22"/>
        </w:rPr>
        <w:t xml:space="preserve"> </w:t>
      </w:r>
      <w:r w:rsidR="00762D25">
        <w:rPr>
          <w:sz w:val="22"/>
          <w:szCs w:val="22"/>
        </w:rPr>
        <w:t>7</w:t>
      </w:r>
      <w:r w:rsidR="00DE6AF8">
        <w:rPr>
          <w:sz w:val="22"/>
          <w:szCs w:val="22"/>
        </w:rPr>
        <w:t>.</w:t>
      </w:r>
      <w:r>
        <w:rPr>
          <w:sz w:val="22"/>
          <w:szCs w:val="22"/>
        </w:rPr>
        <w:t>0</w:t>
      </w:r>
      <w:r w:rsidR="00762D25">
        <w:rPr>
          <w:sz w:val="22"/>
          <w:szCs w:val="22"/>
        </w:rPr>
        <w:t>6</w:t>
      </w:r>
      <w:r w:rsidR="003A3662">
        <w:rPr>
          <w:sz w:val="22"/>
          <w:szCs w:val="22"/>
        </w:rPr>
        <w:tab/>
      </w:r>
    </w:p>
    <w:p w:rsidR="005456FE" w:rsidRDefault="005456FE">
      <w:pPr>
        <w:tabs>
          <w:tab w:val="left" w:pos="360"/>
          <w:tab w:val="left" w:pos="810"/>
          <w:tab w:val="left" w:pos="5310"/>
          <w:tab w:val="left" w:pos="7740"/>
        </w:tabs>
        <w:rPr>
          <w:sz w:val="22"/>
          <w:szCs w:val="22"/>
        </w:rPr>
      </w:pPr>
    </w:p>
    <w:p w:rsidR="005456FE" w:rsidRDefault="005456FE">
      <w:pPr>
        <w:tabs>
          <w:tab w:val="left" w:pos="360"/>
          <w:tab w:val="left" w:pos="810"/>
          <w:tab w:val="left" w:pos="5310"/>
          <w:tab w:val="left" w:pos="7740"/>
        </w:tabs>
        <w:rPr>
          <w:sz w:val="22"/>
          <w:szCs w:val="22"/>
        </w:rPr>
      </w:pPr>
    </w:p>
    <w:p w:rsidR="005456FE" w:rsidRDefault="005456FE">
      <w:pPr>
        <w:tabs>
          <w:tab w:val="left" w:pos="360"/>
          <w:tab w:val="left" w:pos="810"/>
          <w:tab w:val="left" w:pos="5310"/>
          <w:tab w:val="left" w:pos="7740"/>
        </w:tabs>
        <w:rPr>
          <w:sz w:val="22"/>
          <w:szCs w:val="22"/>
        </w:rPr>
      </w:pPr>
    </w:p>
    <w:p w:rsidR="005456FE" w:rsidRDefault="005456FE">
      <w:pPr>
        <w:tabs>
          <w:tab w:val="left" w:pos="360"/>
          <w:tab w:val="left" w:pos="810"/>
          <w:tab w:val="left" w:pos="5310"/>
          <w:tab w:val="left" w:pos="7740"/>
        </w:tabs>
        <w:rPr>
          <w:sz w:val="22"/>
          <w:szCs w:val="22"/>
        </w:rPr>
      </w:pPr>
    </w:p>
    <w:p w:rsidR="0008115F" w:rsidRDefault="0008115F">
      <w:pPr>
        <w:tabs>
          <w:tab w:val="left" w:pos="360"/>
          <w:tab w:val="left" w:pos="810"/>
          <w:tab w:val="left" w:pos="5310"/>
          <w:tab w:val="left" w:pos="7740"/>
        </w:tabs>
        <w:rPr>
          <w:sz w:val="22"/>
          <w:szCs w:val="22"/>
        </w:rPr>
      </w:pPr>
    </w:p>
    <w:p w:rsidR="0008115F" w:rsidRDefault="0008115F">
      <w:pPr>
        <w:tabs>
          <w:tab w:val="left" w:pos="360"/>
          <w:tab w:val="left" w:pos="810"/>
          <w:tab w:val="left" w:pos="5310"/>
          <w:tab w:val="left" w:pos="7740"/>
        </w:tabs>
        <w:rPr>
          <w:sz w:val="22"/>
          <w:szCs w:val="22"/>
        </w:rPr>
      </w:pPr>
    </w:p>
    <w:p w:rsidR="00F672AB" w:rsidRDefault="00F672AB">
      <w:pPr>
        <w:tabs>
          <w:tab w:val="left" w:pos="360"/>
          <w:tab w:val="left" w:pos="810"/>
          <w:tab w:val="left" w:pos="5310"/>
          <w:tab w:val="left" w:pos="7740"/>
        </w:tabs>
        <w:rPr>
          <w:sz w:val="22"/>
          <w:szCs w:val="22"/>
        </w:rPr>
      </w:pPr>
      <w:r>
        <w:rPr>
          <w:sz w:val="22"/>
          <w:szCs w:val="22"/>
        </w:rPr>
        <w:t>On behalf of the Board</w:t>
      </w:r>
    </w:p>
    <w:p w:rsidR="00F672AB" w:rsidRDefault="00F672AB">
      <w:pPr>
        <w:tabs>
          <w:tab w:val="left" w:pos="360"/>
          <w:tab w:val="left" w:pos="810"/>
          <w:tab w:val="left" w:pos="5310"/>
          <w:tab w:val="left" w:pos="7740"/>
        </w:tabs>
        <w:rPr>
          <w:b/>
          <w:sz w:val="22"/>
          <w:szCs w:val="22"/>
        </w:rPr>
      </w:pPr>
      <w:r>
        <w:rPr>
          <w:b/>
          <w:sz w:val="22"/>
          <w:szCs w:val="22"/>
        </w:rPr>
        <w:t>MENTIGA CORPORATION BERHAD</w:t>
      </w:r>
    </w:p>
    <w:p w:rsidR="00F672AB" w:rsidRDefault="00F672AB">
      <w:pPr>
        <w:tabs>
          <w:tab w:val="left" w:pos="360"/>
          <w:tab w:val="left" w:pos="810"/>
          <w:tab w:val="left" w:pos="5310"/>
          <w:tab w:val="left" w:pos="7740"/>
        </w:tabs>
        <w:rPr>
          <w:b/>
          <w:sz w:val="22"/>
          <w:szCs w:val="22"/>
        </w:rPr>
      </w:pPr>
    </w:p>
    <w:p w:rsidR="003F6EA1" w:rsidRDefault="003F6EA1">
      <w:pPr>
        <w:tabs>
          <w:tab w:val="left" w:pos="360"/>
          <w:tab w:val="left" w:pos="810"/>
          <w:tab w:val="left" w:pos="5310"/>
          <w:tab w:val="left" w:pos="7740"/>
        </w:tabs>
        <w:rPr>
          <w:b/>
          <w:sz w:val="22"/>
          <w:szCs w:val="22"/>
        </w:rPr>
      </w:pPr>
    </w:p>
    <w:p w:rsidR="00F672AB" w:rsidRDefault="00F672AB">
      <w:pPr>
        <w:tabs>
          <w:tab w:val="left" w:pos="360"/>
          <w:tab w:val="left" w:pos="810"/>
          <w:tab w:val="left" w:pos="5310"/>
          <w:tab w:val="left" w:pos="7740"/>
        </w:tabs>
        <w:rPr>
          <w:sz w:val="22"/>
          <w:szCs w:val="22"/>
        </w:rPr>
      </w:pPr>
      <w:r>
        <w:rPr>
          <w:sz w:val="22"/>
          <w:szCs w:val="22"/>
        </w:rPr>
        <w:t>YEAP KOK LEONG</w:t>
      </w:r>
    </w:p>
    <w:p w:rsidR="00F672AB" w:rsidRDefault="00F672AB">
      <w:pPr>
        <w:tabs>
          <w:tab w:val="left" w:pos="360"/>
          <w:tab w:val="left" w:pos="810"/>
          <w:tab w:val="left" w:pos="5310"/>
          <w:tab w:val="left" w:pos="7740"/>
        </w:tabs>
        <w:rPr>
          <w:sz w:val="22"/>
          <w:szCs w:val="22"/>
        </w:rPr>
      </w:pPr>
      <w:r>
        <w:rPr>
          <w:sz w:val="22"/>
          <w:szCs w:val="22"/>
        </w:rPr>
        <w:t>Company Secretary</w:t>
      </w:r>
    </w:p>
    <w:p w:rsidR="00F672AB" w:rsidRDefault="00F672AB">
      <w:pPr>
        <w:tabs>
          <w:tab w:val="left" w:pos="360"/>
          <w:tab w:val="left" w:pos="810"/>
          <w:tab w:val="left" w:pos="5310"/>
          <w:tab w:val="left" w:pos="7740"/>
        </w:tabs>
        <w:rPr>
          <w:sz w:val="22"/>
          <w:szCs w:val="22"/>
        </w:rPr>
      </w:pPr>
    </w:p>
    <w:p w:rsidR="003F6EA1" w:rsidRDefault="00F672AB" w:rsidP="00EC28CC">
      <w:pPr>
        <w:tabs>
          <w:tab w:val="left" w:pos="360"/>
          <w:tab w:val="left" w:pos="810"/>
          <w:tab w:val="left" w:pos="5310"/>
          <w:tab w:val="left" w:pos="7740"/>
        </w:tabs>
        <w:rPr>
          <w:sz w:val="22"/>
          <w:szCs w:val="22"/>
        </w:rPr>
      </w:pPr>
      <w:smartTag w:uri="urn:schemas-microsoft-com:office:smarttags" w:element="place">
        <w:smartTag w:uri="urn:schemas-microsoft-com:office:smarttags" w:element="City">
          <w:r>
            <w:rPr>
              <w:sz w:val="22"/>
              <w:szCs w:val="22"/>
            </w:rPr>
            <w:t>Kuala Lumpur</w:t>
          </w:r>
        </w:smartTag>
      </w:smartTag>
      <w:r>
        <w:rPr>
          <w:sz w:val="22"/>
          <w:szCs w:val="22"/>
        </w:rPr>
        <w:t xml:space="preserve">     </w:t>
      </w:r>
    </w:p>
    <w:sectPr w:rsidR="003F6EA1" w:rsidSect="004A6C4D">
      <w:type w:val="continuous"/>
      <w:pgSz w:w="12240" w:h="15840"/>
      <w:pgMar w:top="1728"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CEC" w:rsidRDefault="00495CEC">
      <w:r>
        <w:separator/>
      </w:r>
    </w:p>
  </w:endnote>
  <w:endnote w:type="continuationSeparator" w:id="0">
    <w:p w:rsidR="00495CEC" w:rsidRDefault="00495C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5FB" w:rsidRDefault="00D55456" w:rsidP="00680CA5">
    <w:pPr>
      <w:pStyle w:val="Footer"/>
      <w:jc w:val="center"/>
    </w:pPr>
    <w:r>
      <w:rPr>
        <w:rStyle w:val="PageNumber"/>
      </w:rPr>
      <w:fldChar w:fldCharType="begin"/>
    </w:r>
    <w:r w:rsidR="008F15FB">
      <w:rPr>
        <w:rStyle w:val="PageNumber"/>
      </w:rPr>
      <w:instrText xml:space="preserve"> PAGE </w:instrText>
    </w:r>
    <w:r>
      <w:rPr>
        <w:rStyle w:val="PageNumber"/>
      </w:rPr>
      <w:fldChar w:fldCharType="separate"/>
    </w:r>
    <w:r w:rsidR="00844E90">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CEC" w:rsidRDefault="00495CEC">
      <w:r>
        <w:separator/>
      </w:r>
    </w:p>
  </w:footnote>
  <w:footnote w:type="continuationSeparator" w:id="0">
    <w:p w:rsidR="00495CEC" w:rsidRDefault="00495C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C55FF"/>
    <w:multiLevelType w:val="singleLevel"/>
    <w:tmpl w:val="04090015"/>
    <w:lvl w:ilvl="0">
      <w:start w:val="1"/>
      <w:numFmt w:val="upperLetter"/>
      <w:lvlText w:val="%1."/>
      <w:lvlJc w:val="left"/>
      <w:pPr>
        <w:tabs>
          <w:tab w:val="num" w:pos="360"/>
        </w:tabs>
        <w:ind w:left="360" w:hanging="360"/>
      </w:pPr>
    </w:lvl>
  </w:abstractNum>
  <w:abstractNum w:abstractNumId="1">
    <w:nsid w:val="0D372CCE"/>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nsid w:val="26B0658D"/>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nsid w:val="2ED30E63"/>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nsid w:val="358F7335"/>
    <w:multiLevelType w:val="singleLevel"/>
    <w:tmpl w:val="1D9E9F36"/>
    <w:lvl w:ilvl="0">
      <w:start w:val="1"/>
      <w:numFmt w:val="lowerLetter"/>
      <w:lvlText w:val="(%1)"/>
      <w:lvlJc w:val="left"/>
      <w:pPr>
        <w:tabs>
          <w:tab w:val="num" w:pos="1440"/>
        </w:tabs>
        <w:ind w:left="1440" w:hanging="720"/>
      </w:pPr>
      <w:rPr>
        <w:rFonts w:hint="default"/>
      </w:rPr>
    </w:lvl>
  </w:abstractNum>
  <w:abstractNum w:abstractNumId="5">
    <w:nsid w:val="35BB0F46"/>
    <w:multiLevelType w:val="hybridMultilevel"/>
    <w:tmpl w:val="1B8C1C0A"/>
    <w:lvl w:ilvl="0" w:tplc="48C4D6B2">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456F7805"/>
    <w:multiLevelType w:val="hybridMultilevel"/>
    <w:tmpl w:val="877ACEC2"/>
    <w:lvl w:ilvl="0" w:tplc="0916E3E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11023E8"/>
    <w:multiLevelType w:val="singleLevel"/>
    <w:tmpl w:val="76D4299C"/>
    <w:lvl w:ilvl="0">
      <w:start w:val="1"/>
      <w:numFmt w:val="lowerLetter"/>
      <w:lvlText w:val="(%1)"/>
      <w:lvlJc w:val="left"/>
      <w:pPr>
        <w:tabs>
          <w:tab w:val="num" w:pos="720"/>
        </w:tabs>
        <w:ind w:left="720" w:hanging="360"/>
      </w:pPr>
      <w:rPr>
        <w:rFonts w:hint="default"/>
      </w:rPr>
    </w:lvl>
  </w:abstractNum>
  <w:abstractNum w:abstractNumId="8">
    <w:nsid w:val="57A524F6"/>
    <w:multiLevelType w:val="hybridMultilevel"/>
    <w:tmpl w:val="5CFA5216"/>
    <w:lvl w:ilvl="0" w:tplc="CBE6C1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CB55888"/>
    <w:multiLevelType w:val="singleLevel"/>
    <w:tmpl w:val="2DC432DC"/>
    <w:lvl w:ilvl="0">
      <w:start w:val="1"/>
      <w:numFmt w:val="decimal"/>
      <w:lvlText w:val="%1"/>
      <w:lvlJc w:val="left"/>
      <w:pPr>
        <w:tabs>
          <w:tab w:val="num" w:pos="720"/>
        </w:tabs>
        <w:ind w:left="720" w:hanging="360"/>
      </w:pPr>
      <w:rPr>
        <w:rFonts w:hint="default"/>
      </w:rPr>
    </w:lvl>
  </w:abstractNum>
  <w:abstractNum w:abstractNumId="10">
    <w:nsid w:val="60C11BE4"/>
    <w:multiLevelType w:val="hybridMultilevel"/>
    <w:tmpl w:val="972AB792"/>
    <w:lvl w:ilvl="0" w:tplc="D48C9B7E">
      <w:start w:val="2"/>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nsid w:val="70BB0A0E"/>
    <w:multiLevelType w:val="hybridMultilevel"/>
    <w:tmpl w:val="978EC176"/>
    <w:lvl w:ilvl="0" w:tplc="D744C3F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4DB536E"/>
    <w:multiLevelType w:val="singleLevel"/>
    <w:tmpl w:val="C876E4A6"/>
    <w:lvl w:ilvl="0">
      <w:start w:val="1"/>
      <w:numFmt w:val="upperLetter"/>
      <w:lvlText w:val="%1."/>
      <w:lvlJc w:val="left"/>
      <w:pPr>
        <w:tabs>
          <w:tab w:val="num" w:pos="720"/>
        </w:tabs>
        <w:ind w:left="720" w:hanging="720"/>
      </w:pPr>
      <w:rPr>
        <w:rFonts w:hint="default"/>
      </w:rPr>
    </w:lvl>
  </w:abstractNum>
  <w:abstractNum w:abstractNumId="13">
    <w:nsid w:val="76EB64F6"/>
    <w:multiLevelType w:val="hybridMultilevel"/>
    <w:tmpl w:val="9E30345E"/>
    <w:lvl w:ilvl="0" w:tplc="FD1483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3"/>
  </w:num>
  <w:num w:numId="3">
    <w:abstractNumId w:val="2"/>
  </w:num>
  <w:num w:numId="4">
    <w:abstractNumId w:val="1"/>
  </w:num>
  <w:num w:numId="5">
    <w:abstractNumId w:val="0"/>
  </w:num>
  <w:num w:numId="6">
    <w:abstractNumId w:val="7"/>
  </w:num>
  <w:num w:numId="7">
    <w:abstractNumId w:val="9"/>
  </w:num>
  <w:num w:numId="8">
    <w:abstractNumId w:val="4"/>
  </w:num>
  <w:num w:numId="9">
    <w:abstractNumId w:val="10"/>
  </w:num>
  <w:num w:numId="10">
    <w:abstractNumId w:val="8"/>
  </w:num>
  <w:num w:numId="11">
    <w:abstractNumId w:val="11"/>
  </w:num>
  <w:num w:numId="12">
    <w:abstractNumId w:val="6"/>
  </w:num>
  <w:num w:numId="13">
    <w:abstractNumId w:val="5"/>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672AB"/>
    <w:rsid w:val="00014CFE"/>
    <w:rsid w:val="00016840"/>
    <w:rsid w:val="00022C56"/>
    <w:rsid w:val="00023615"/>
    <w:rsid w:val="00026ECE"/>
    <w:rsid w:val="0003028D"/>
    <w:rsid w:val="000318CB"/>
    <w:rsid w:val="00031E1A"/>
    <w:rsid w:val="00033308"/>
    <w:rsid w:val="000337DF"/>
    <w:rsid w:val="000421DE"/>
    <w:rsid w:val="000448A2"/>
    <w:rsid w:val="00044A39"/>
    <w:rsid w:val="000509EB"/>
    <w:rsid w:val="00055DAD"/>
    <w:rsid w:val="00061339"/>
    <w:rsid w:val="00062570"/>
    <w:rsid w:val="00062619"/>
    <w:rsid w:val="0006506F"/>
    <w:rsid w:val="00066B13"/>
    <w:rsid w:val="00067C2B"/>
    <w:rsid w:val="00071DB1"/>
    <w:rsid w:val="00076DC2"/>
    <w:rsid w:val="0007739B"/>
    <w:rsid w:val="000802EF"/>
    <w:rsid w:val="0008115F"/>
    <w:rsid w:val="00084629"/>
    <w:rsid w:val="000917CA"/>
    <w:rsid w:val="00093120"/>
    <w:rsid w:val="00095F34"/>
    <w:rsid w:val="0009699C"/>
    <w:rsid w:val="00097ED2"/>
    <w:rsid w:val="000A223B"/>
    <w:rsid w:val="000A5F71"/>
    <w:rsid w:val="000A5F75"/>
    <w:rsid w:val="000A6ACA"/>
    <w:rsid w:val="000B6468"/>
    <w:rsid w:val="000C066E"/>
    <w:rsid w:val="000C5B5D"/>
    <w:rsid w:val="000C5C8D"/>
    <w:rsid w:val="000C7E97"/>
    <w:rsid w:val="000D0C3B"/>
    <w:rsid w:val="000D1571"/>
    <w:rsid w:val="000D1838"/>
    <w:rsid w:val="000D5E5D"/>
    <w:rsid w:val="000E0AD0"/>
    <w:rsid w:val="000E136D"/>
    <w:rsid w:val="000E159A"/>
    <w:rsid w:val="000E6CA2"/>
    <w:rsid w:val="000F206F"/>
    <w:rsid w:val="001024A8"/>
    <w:rsid w:val="00102647"/>
    <w:rsid w:val="0010378D"/>
    <w:rsid w:val="00110773"/>
    <w:rsid w:val="00111339"/>
    <w:rsid w:val="00111D03"/>
    <w:rsid w:val="0011417C"/>
    <w:rsid w:val="00124E43"/>
    <w:rsid w:val="001260EA"/>
    <w:rsid w:val="00126698"/>
    <w:rsid w:val="00132761"/>
    <w:rsid w:val="00132915"/>
    <w:rsid w:val="00135061"/>
    <w:rsid w:val="001359A5"/>
    <w:rsid w:val="00136977"/>
    <w:rsid w:val="00136A96"/>
    <w:rsid w:val="001373BC"/>
    <w:rsid w:val="00141CD9"/>
    <w:rsid w:val="0014286E"/>
    <w:rsid w:val="00144BBC"/>
    <w:rsid w:val="0014532D"/>
    <w:rsid w:val="00145850"/>
    <w:rsid w:val="00152F80"/>
    <w:rsid w:val="00154692"/>
    <w:rsid w:val="00154FF1"/>
    <w:rsid w:val="00161D11"/>
    <w:rsid w:val="00171960"/>
    <w:rsid w:val="0017395A"/>
    <w:rsid w:val="0017406A"/>
    <w:rsid w:val="001750EB"/>
    <w:rsid w:val="001758A3"/>
    <w:rsid w:val="00176B0A"/>
    <w:rsid w:val="00181564"/>
    <w:rsid w:val="00181684"/>
    <w:rsid w:val="0018243E"/>
    <w:rsid w:val="001903BF"/>
    <w:rsid w:val="00190B9F"/>
    <w:rsid w:val="001917A5"/>
    <w:rsid w:val="00191861"/>
    <w:rsid w:val="00192D18"/>
    <w:rsid w:val="001956A5"/>
    <w:rsid w:val="001A3F3A"/>
    <w:rsid w:val="001A4AB0"/>
    <w:rsid w:val="001B1227"/>
    <w:rsid w:val="001B3018"/>
    <w:rsid w:val="001C2097"/>
    <w:rsid w:val="001D1C61"/>
    <w:rsid w:val="001D2690"/>
    <w:rsid w:val="001E18F3"/>
    <w:rsid w:val="001E1B51"/>
    <w:rsid w:val="001E33BB"/>
    <w:rsid w:val="001E696A"/>
    <w:rsid w:val="001E7385"/>
    <w:rsid w:val="001F29F1"/>
    <w:rsid w:val="001F2E5D"/>
    <w:rsid w:val="001F373C"/>
    <w:rsid w:val="001F4504"/>
    <w:rsid w:val="002020E3"/>
    <w:rsid w:val="00203ADA"/>
    <w:rsid w:val="00206147"/>
    <w:rsid w:val="00206B0A"/>
    <w:rsid w:val="002074A3"/>
    <w:rsid w:val="00220479"/>
    <w:rsid w:val="00225300"/>
    <w:rsid w:val="002346DB"/>
    <w:rsid w:val="00236778"/>
    <w:rsid w:val="002402B4"/>
    <w:rsid w:val="0024091E"/>
    <w:rsid w:val="00242C9F"/>
    <w:rsid w:val="00245296"/>
    <w:rsid w:val="00247EB2"/>
    <w:rsid w:val="00250291"/>
    <w:rsid w:val="002528A9"/>
    <w:rsid w:val="00253E56"/>
    <w:rsid w:val="00254543"/>
    <w:rsid w:val="00256F48"/>
    <w:rsid w:val="00257E75"/>
    <w:rsid w:val="00264210"/>
    <w:rsid w:val="00266887"/>
    <w:rsid w:val="0027380A"/>
    <w:rsid w:val="00273C8B"/>
    <w:rsid w:val="002747F8"/>
    <w:rsid w:val="00277791"/>
    <w:rsid w:val="0028129B"/>
    <w:rsid w:val="00282A63"/>
    <w:rsid w:val="00285156"/>
    <w:rsid w:val="00285F15"/>
    <w:rsid w:val="00286E0B"/>
    <w:rsid w:val="00294B84"/>
    <w:rsid w:val="002A09E7"/>
    <w:rsid w:val="002A269A"/>
    <w:rsid w:val="002A2932"/>
    <w:rsid w:val="002B3991"/>
    <w:rsid w:val="002B6294"/>
    <w:rsid w:val="002C34BF"/>
    <w:rsid w:val="002C7B38"/>
    <w:rsid w:val="002D2635"/>
    <w:rsid w:val="002D7515"/>
    <w:rsid w:val="002E0EF9"/>
    <w:rsid w:val="002E6CE1"/>
    <w:rsid w:val="002F02DD"/>
    <w:rsid w:val="002F1A07"/>
    <w:rsid w:val="00301235"/>
    <w:rsid w:val="0030206C"/>
    <w:rsid w:val="00304E84"/>
    <w:rsid w:val="00311023"/>
    <w:rsid w:val="0031510E"/>
    <w:rsid w:val="0031512B"/>
    <w:rsid w:val="0031658E"/>
    <w:rsid w:val="00317CF8"/>
    <w:rsid w:val="003249EB"/>
    <w:rsid w:val="00324AF3"/>
    <w:rsid w:val="0032681F"/>
    <w:rsid w:val="00327B4B"/>
    <w:rsid w:val="00327D91"/>
    <w:rsid w:val="00331ACE"/>
    <w:rsid w:val="00336368"/>
    <w:rsid w:val="00341AEC"/>
    <w:rsid w:val="00341F02"/>
    <w:rsid w:val="00345DDD"/>
    <w:rsid w:val="003471AA"/>
    <w:rsid w:val="003506DE"/>
    <w:rsid w:val="0035577F"/>
    <w:rsid w:val="003623E8"/>
    <w:rsid w:val="00362B9D"/>
    <w:rsid w:val="003635FD"/>
    <w:rsid w:val="00363E86"/>
    <w:rsid w:val="003654E8"/>
    <w:rsid w:val="00365D3F"/>
    <w:rsid w:val="003671D5"/>
    <w:rsid w:val="0037055F"/>
    <w:rsid w:val="00371A87"/>
    <w:rsid w:val="00374565"/>
    <w:rsid w:val="00383765"/>
    <w:rsid w:val="00384981"/>
    <w:rsid w:val="00385088"/>
    <w:rsid w:val="00392D0E"/>
    <w:rsid w:val="003931DD"/>
    <w:rsid w:val="003943AB"/>
    <w:rsid w:val="00395CA2"/>
    <w:rsid w:val="003A1CC9"/>
    <w:rsid w:val="003A2D0D"/>
    <w:rsid w:val="003A3662"/>
    <w:rsid w:val="003A50BB"/>
    <w:rsid w:val="003B460F"/>
    <w:rsid w:val="003B487B"/>
    <w:rsid w:val="003B5285"/>
    <w:rsid w:val="003B77A6"/>
    <w:rsid w:val="003C4CE4"/>
    <w:rsid w:val="003D36B2"/>
    <w:rsid w:val="003D5C64"/>
    <w:rsid w:val="003E0D93"/>
    <w:rsid w:val="003E1330"/>
    <w:rsid w:val="003E474A"/>
    <w:rsid w:val="003F144F"/>
    <w:rsid w:val="003F38AD"/>
    <w:rsid w:val="003F4404"/>
    <w:rsid w:val="003F4D32"/>
    <w:rsid w:val="003F6EA1"/>
    <w:rsid w:val="003F73A4"/>
    <w:rsid w:val="00400F1C"/>
    <w:rsid w:val="00401556"/>
    <w:rsid w:val="00401BDF"/>
    <w:rsid w:val="00404AFC"/>
    <w:rsid w:val="00406BBB"/>
    <w:rsid w:val="0041108D"/>
    <w:rsid w:val="00414131"/>
    <w:rsid w:val="004146E0"/>
    <w:rsid w:val="00414ABA"/>
    <w:rsid w:val="00415879"/>
    <w:rsid w:val="00415C77"/>
    <w:rsid w:val="00417460"/>
    <w:rsid w:val="00417800"/>
    <w:rsid w:val="0041794A"/>
    <w:rsid w:val="00422354"/>
    <w:rsid w:val="0042287B"/>
    <w:rsid w:val="00423A85"/>
    <w:rsid w:val="00424A8E"/>
    <w:rsid w:val="00431006"/>
    <w:rsid w:val="00431FA5"/>
    <w:rsid w:val="00433116"/>
    <w:rsid w:val="004336DF"/>
    <w:rsid w:val="004340B3"/>
    <w:rsid w:val="004372D9"/>
    <w:rsid w:val="00442252"/>
    <w:rsid w:val="00451652"/>
    <w:rsid w:val="00454131"/>
    <w:rsid w:val="00457503"/>
    <w:rsid w:val="004575A1"/>
    <w:rsid w:val="004612D3"/>
    <w:rsid w:val="00464275"/>
    <w:rsid w:val="00470101"/>
    <w:rsid w:val="00471174"/>
    <w:rsid w:val="00472F6E"/>
    <w:rsid w:val="0047631B"/>
    <w:rsid w:val="0047686D"/>
    <w:rsid w:val="00476DA1"/>
    <w:rsid w:val="0048183D"/>
    <w:rsid w:val="00484B4E"/>
    <w:rsid w:val="00490013"/>
    <w:rsid w:val="00491354"/>
    <w:rsid w:val="00491B79"/>
    <w:rsid w:val="0049257A"/>
    <w:rsid w:val="00495CEC"/>
    <w:rsid w:val="004A6C4D"/>
    <w:rsid w:val="004B002C"/>
    <w:rsid w:val="004B18C2"/>
    <w:rsid w:val="004B74F3"/>
    <w:rsid w:val="004C13DB"/>
    <w:rsid w:val="004C2F72"/>
    <w:rsid w:val="004D5B6F"/>
    <w:rsid w:val="004D7549"/>
    <w:rsid w:val="004E2150"/>
    <w:rsid w:val="004E5DB7"/>
    <w:rsid w:val="004F186E"/>
    <w:rsid w:val="004F7345"/>
    <w:rsid w:val="005072D9"/>
    <w:rsid w:val="00507FF7"/>
    <w:rsid w:val="005118D8"/>
    <w:rsid w:val="0051764A"/>
    <w:rsid w:val="00521E9B"/>
    <w:rsid w:val="00522998"/>
    <w:rsid w:val="00532D0F"/>
    <w:rsid w:val="00535E12"/>
    <w:rsid w:val="00540CEF"/>
    <w:rsid w:val="00541BC1"/>
    <w:rsid w:val="005456FE"/>
    <w:rsid w:val="00553B7B"/>
    <w:rsid w:val="00557EC4"/>
    <w:rsid w:val="0056207F"/>
    <w:rsid w:val="005641A0"/>
    <w:rsid w:val="00565128"/>
    <w:rsid w:val="005705FB"/>
    <w:rsid w:val="00571470"/>
    <w:rsid w:val="00574C85"/>
    <w:rsid w:val="00584786"/>
    <w:rsid w:val="00584F01"/>
    <w:rsid w:val="005857D2"/>
    <w:rsid w:val="00585FBC"/>
    <w:rsid w:val="00586EEC"/>
    <w:rsid w:val="00587A5F"/>
    <w:rsid w:val="00592A0E"/>
    <w:rsid w:val="00594156"/>
    <w:rsid w:val="00594544"/>
    <w:rsid w:val="005958BE"/>
    <w:rsid w:val="0059751C"/>
    <w:rsid w:val="00597C9A"/>
    <w:rsid w:val="005A0C96"/>
    <w:rsid w:val="005A2CB2"/>
    <w:rsid w:val="005A2F47"/>
    <w:rsid w:val="005A573F"/>
    <w:rsid w:val="005A782F"/>
    <w:rsid w:val="005A7E22"/>
    <w:rsid w:val="005B1882"/>
    <w:rsid w:val="005B2568"/>
    <w:rsid w:val="005B61AA"/>
    <w:rsid w:val="005C01B1"/>
    <w:rsid w:val="005C2017"/>
    <w:rsid w:val="005C2A17"/>
    <w:rsid w:val="005C7D57"/>
    <w:rsid w:val="005D2260"/>
    <w:rsid w:val="005D540B"/>
    <w:rsid w:val="005D7FB2"/>
    <w:rsid w:val="005E67E7"/>
    <w:rsid w:val="005E7F08"/>
    <w:rsid w:val="005F1152"/>
    <w:rsid w:val="005F3510"/>
    <w:rsid w:val="005F3DC1"/>
    <w:rsid w:val="005F3FAD"/>
    <w:rsid w:val="005F69A2"/>
    <w:rsid w:val="005F6A53"/>
    <w:rsid w:val="00603B3E"/>
    <w:rsid w:val="0060479E"/>
    <w:rsid w:val="00612D94"/>
    <w:rsid w:val="00614B42"/>
    <w:rsid w:val="006204FE"/>
    <w:rsid w:val="00620E1C"/>
    <w:rsid w:val="00621908"/>
    <w:rsid w:val="00621D0E"/>
    <w:rsid w:val="00622AD8"/>
    <w:rsid w:val="006242CB"/>
    <w:rsid w:val="00626F21"/>
    <w:rsid w:val="00631092"/>
    <w:rsid w:val="00632C43"/>
    <w:rsid w:val="00635F1D"/>
    <w:rsid w:val="00637E1B"/>
    <w:rsid w:val="006452E4"/>
    <w:rsid w:val="00646D2C"/>
    <w:rsid w:val="0065043B"/>
    <w:rsid w:val="0065724D"/>
    <w:rsid w:val="00657438"/>
    <w:rsid w:val="006641E3"/>
    <w:rsid w:val="00664662"/>
    <w:rsid w:val="00664CBF"/>
    <w:rsid w:val="006704F6"/>
    <w:rsid w:val="00670E00"/>
    <w:rsid w:val="00673DAB"/>
    <w:rsid w:val="00673E25"/>
    <w:rsid w:val="00673F01"/>
    <w:rsid w:val="00675F1E"/>
    <w:rsid w:val="00677A4A"/>
    <w:rsid w:val="00680756"/>
    <w:rsid w:val="00680CA5"/>
    <w:rsid w:val="00682EB7"/>
    <w:rsid w:val="006835FC"/>
    <w:rsid w:val="00683A72"/>
    <w:rsid w:val="00684D11"/>
    <w:rsid w:val="00686D6A"/>
    <w:rsid w:val="00690752"/>
    <w:rsid w:val="00691C84"/>
    <w:rsid w:val="00695BA9"/>
    <w:rsid w:val="00697CA7"/>
    <w:rsid w:val="006A2A2A"/>
    <w:rsid w:val="006A5127"/>
    <w:rsid w:val="006A5450"/>
    <w:rsid w:val="006A5B6A"/>
    <w:rsid w:val="006A5EF6"/>
    <w:rsid w:val="006A6121"/>
    <w:rsid w:val="006B6578"/>
    <w:rsid w:val="006B76D4"/>
    <w:rsid w:val="006C3ECF"/>
    <w:rsid w:val="006C54F8"/>
    <w:rsid w:val="006C5790"/>
    <w:rsid w:val="006C77FA"/>
    <w:rsid w:val="006D270F"/>
    <w:rsid w:val="006D5AAA"/>
    <w:rsid w:val="006D6F9B"/>
    <w:rsid w:val="006D753F"/>
    <w:rsid w:val="006E0AA1"/>
    <w:rsid w:val="006E1816"/>
    <w:rsid w:val="006E6F2C"/>
    <w:rsid w:val="006E7060"/>
    <w:rsid w:val="006F1A98"/>
    <w:rsid w:val="006F7F42"/>
    <w:rsid w:val="0070026A"/>
    <w:rsid w:val="007107DB"/>
    <w:rsid w:val="00712431"/>
    <w:rsid w:val="00715510"/>
    <w:rsid w:val="007165B4"/>
    <w:rsid w:val="00721204"/>
    <w:rsid w:val="00721EA9"/>
    <w:rsid w:val="0072228E"/>
    <w:rsid w:val="00726064"/>
    <w:rsid w:val="0073357B"/>
    <w:rsid w:val="007375D3"/>
    <w:rsid w:val="00745239"/>
    <w:rsid w:val="007523E8"/>
    <w:rsid w:val="00762D25"/>
    <w:rsid w:val="0076418E"/>
    <w:rsid w:val="00766741"/>
    <w:rsid w:val="00775A6F"/>
    <w:rsid w:val="00775E49"/>
    <w:rsid w:val="00780F71"/>
    <w:rsid w:val="007810D7"/>
    <w:rsid w:val="007830B1"/>
    <w:rsid w:val="0078470D"/>
    <w:rsid w:val="00784992"/>
    <w:rsid w:val="00786E17"/>
    <w:rsid w:val="00790A88"/>
    <w:rsid w:val="00792194"/>
    <w:rsid w:val="00793D51"/>
    <w:rsid w:val="00794968"/>
    <w:rsid w:val="007A07CF"/>
    <w:rsid w:val="007A2BC8"/>
    <w:rsid w:val="007B492F"/>
    <w:rsid w:val="007B5684"/>
    <w:rsid w:val="007B7E81"/>
    <w:rsid w:val="007C4BD2"/>
    <w:rsid w:val="007D5C21"/>
    <w:rsid w:val="007D63AD"/>
    <w:rsid w:val="007E54D2"/>
    <w:rsid w:val="007F0A8C"/>
    <w:rsid w:val="007F188C"/>
    <w:rsid w:val="007F2C88"/>
    <w:rsid w:val="00800753"/>
    <w:rsid w:val="00806533"/>
    <w:rsid w:val="00806FAE"/>
    <w:rsid w:val="00807835"/>
    <w:rsid w:val="00810D09"/>
    <w:rsid w:val="0081131C"/>
    <w:rsid w:val="0081185C"/>
    <w:rsid w:val="00811A91"/>
    <w:rsid w:val="0081224C"/>
    <w:rsid w:val="00812DA0"/>
    <w:rsid w:val="0081499D"/>
    <w:rsid w:val="00815D72"/>
    <w:rsid w:val="00816E60"/>
    <w:rsid w:val="00817B2C"/>
    <w:rsid w:val="00827D55"/>
    <w:rsid w:val="00830A6D"/>
    <w:rsid w:val="008335E4"/>
    <w:rsid w:val="00844E90"/>
    <w:rsid w:val="00847908"/>
    <w:rsid w:val="0085295F"/>
    <w:rsid w:val="00855F98"/>
    <w:rsid w:val="008561CA"/>
    <w:rsid w:val="0086193F"/>
    <w:rsid w:val="00865272"/>
    <w:rsid w:val="00865368"/>
    <w:rsid w:val="008661FC"/>
    <w:rsid w:val="00872DAA"/>
    <w:rsid w:val="00882B59"/>
    <w:rsid w:val="00882EB4"/>
    <w:rsid w:val="00886EE8"/>
    <w:rsid w:val="00887A08"/>
    <w:rsid w:val="00890843"/>
    <w:rsid w:val="00891A23"/>
    <w:rsid w:val="00893935"/>
    <w:rsid w:val="00895D89"/>
    <w:rsid w:val="008961F4"/>
    <w:rsid w:val="008A223D"/>
    <w:rsid w:val="008A45B9"/>
    <w:rsid w:val="008A611A"/>
    <w:rsid w:val="008B22AB"/>
    <w:rsid w:val="008B4C0D"/>
    <w:rsid w:val="008C0CAB"/>
    <w:rsid w:val="008C2197"/>
    <w:rsid w:val="008C3776"/>
    <w:rsid w:val="008C4951"/>
    <w:rsid w:val="008D02F1"/>
    <w:rsid w:val="008E1136"/>
    <w:rsid w:val="008F15FB"/>
    <w:rsid w:val="008F5160"/>
    <w:rsid w:val="008F664C"/>
    <w:rsid w:val="008F7E77"/>
    <w:rsid w:val="009013CF"/>
    <w:rsid w:val="00901918"/>
    <w:rsid w:val="00905B8C"/>
    <w:rsid w:val="00906F91"/>
    <w:rsid w:val="00912BFB"/>
    <w:rsid w:val="00913051"/>
    <w:rsid w:val="0091587F"/>
    <w:rsid w:val="00920AC5"/>
    <w:rsid w:val="009223CE"/>
    <w:rsid w:val="00923652"/>
    <w:rsid w:val="00923A77"/>
    <w:rsid w:val="00932283"/>
    <w:rsid w:val="00933230"/>
    <w:rsid w:val="0093545C"/>
    <w:rsid w:val="00936DD2"/>
    <w:rsid w:val="00940C61"/>
    <w:rsid w:val="00942563"/>
    <w:rsid w:val="00942CA6"/>
    <w:rsid w:val="00944041"/>
    <w:rsid w:val="00945D6D"/>
    <w:rsid w:val="00946334"/>
    <w:rsid w:val="00946CBF"/>
    <w:rsid w:val="0095391B"/>
    <w:rsid w:val="00955D76"/>
    <w:rsid w:val="0096232B"/>
    <w:rsid w:val="00971E98"/>
    <w:rsid w:val="00976254"/>
    <w:rsid w:val="00982C82"/>
    <w:rsid w:val="00983061"/>
    <w:rsid w:val="00984A97"/>
    <w:rsid w:val="009863DD"/>
    <w:rsid w:val="00986476"/>
    <w:rsid w:val="00994DE2"/>
    <w:rsid w:val="009956F8"/>
    <w:rsid w:val="009A17FD"/>
    <w:rsid w:val="009A28FE"/>
    <w:rsid w:val="009A3223"/>
    <w:rsid w:val="009A41A5"/>
    <w:rsid w:val="009B065C"/>
    <w:rsid w:val="009B232D"/>
    <w:rsid w:val="009B65C1"/>
    <w:rsid w:val="009B70C3"/>
    <w:rsid w:val="009C2AE3"/>
    <w:rsid w:val="009C4765"/>
    <w:rsid w:val="009C48FD"/>
    <w:rsid w:val="009C5B3A"/>
    <w:rsid w:val="009C714B"/>
    <w:rsid w:val="009D1454"/>
    <w:rsid w:val="009D15FF"/>
    <w:rsid w:val="009D745E"/>
    <w:rsid w:val="009D7C00"/>
    <w:rsid w:val="009E2C0A"/>
    <w:rsid w:val="009F6DCA"/>
    <w:rsid w:val="00A0051D"/>
    <w:rsid w:val="00A01C4E"/>
    <w:rsid w:val="00A01E27"/>
    <w:rsid w:val="00A02152"/>
    <w:rsid w:val="00A0247E"/>
    <w:rsid w:val="00A0462A"/>
    <w:rsid w:val="00A06A4B"/>
    <w:rsid w:val="00A06B1B"/>
    <w:rsid w:val="00A072AA"/>
    <w:rsid w:val="00A07906"/>
    <w:rsid w:val="00A158FC"/>
    <w:rsid w:val="00A16F56"/>
    <w:rsid w:val="00A17AED"/>
    <w:rsid w:val="00A17C92"/>
    <w:rsid w:val="00A21590"/>
    <w:rsid w:val="00A2224E"/>
    <w:rsid w:val="00A2684B"/>
    <w:rsid w:val="00A26DAB"/>
    <w:rsid w:val="00A305F4"/>
    <w:rsid w:val="00A345FA"/>
    <w:rsid w:val="00A37A3A"/>
    <w:rsid w:val="00A42479"/>
    <w:rsid w:val="00A4252A"/>
    <w:rsid w:val="00A42A02"/>
    <w:rsid w:val="00A4430E"/>
    <w:rsid w:val="00A61E72"/>
    <w:rsid w:val="00A65F8A"/>
    <w:rsid w:val="00A66B02"/>
    <w:rsid w:val="00A72693"/>
    <w:rsid w:val="00A84EF2"/>
    <w:rsid w:val="00A9781B"/>
    <w:rsid w:val="00AA2B1C"/>
    <w:rsid w:val="00AA4559"/>
    <w:rsid w:val="00AA498E"/>
    <w:rsid w:val="00AA52B5"/>
    <w:rsid w:val="00AA7188"/>
    <w:rsid w:val="00AB4D22"/>
    <w:rsid w:val="00AB7558"/>
    <w:rsid w:val="00AC295A"/>
    <w:rsid w:val="00AC2D0E"/>
    <w:rsid w:val="00AC459B"/>
    <w:rsid w:val="00AC6AE0"/>
    <w:rsid w:val="00AC7201"/>
    <w:rsid w:val="00AD7772"/>
    <w:rsid w:val="00AE03CF"/>
    <w:rsid w:val="00AE0CFE"/>
    <w:rsid w:val="00AE30C0"/>
    <w:rsid w:val="00AE57E5"/>
    <w:rsid w:val="00AE5BD6"/>
    <w:rsid w:val="00AE7DC5"/>
    <w:rsid w:val="00AF4B80"/>
    <w:rsid w:val="00AF5494"/>
    <w:rsid w:val="00AF5F93"/>
    <w:rsid w:val="00B063BD"/>
    <w:rsid w:val="00B07BE1"/>
    <w:rsid w:val="00B20D96"/>
    <w:rsid w:val="00B266EE"/>
    <w:rsid w:val="00B27F8A"/>
    <w:rsid w:val="00B343B5"/>
    <w:rsid w:val="00B345A3"/>
    <w:rsid w:val="00B3591A"/>
    <w:rsid w:val="00B35FC3"/>
    <w:rsid w:val="00B4139C"/>
    <w:rsid w:val="00B4190D"/>
    <w:rsid w:val="00B505FF"/>
    <w:rsid w:val="00B52F02"/>
    <w:rsid w:val="00B5695E"/>
    <w:rsid w:val="00B569A2"/>
    <w:rsid w:val="00B60D94"/>
    <w:rsid w:val="00B62808"/>
    <w:rsid w:val="00B6645F"/>
    <w:rsid w:val="00B71308"/>
    <w:rsid w:val="00B71668"/>
    <w:rsid w:val="00B76F9B"/>
    <w:rsid w:val="00B77AFD"/>
    <w:rsid w:val="00B80DED"/>
    <w:rsid w:val="00B82D9F"/>
    <w:rsid w:val="00B8338D"/>
    <w:rsid w:val="00B84D60"/>
    <w:rsid w:val="00B84E92"/>
    <w:rsid w:val="00B8720F"/>
    <w:rsid w:val="00B94461"/>
    <w:rsid w:val="00B97AFF"/>
    <w:rsid w:val="00BA198D"/>
    <w:rsid w:val="00BA1EDC"/>
    <w:rsid w:val="00BA5300"/>
    <w:rsid w:val="00BA70DF"/>
    <w:rsid w:val="00BA7B80"/>
    <w:rsid w:val="00BB4DA6"/>
    <w:rsid w:val="00BB7B52"/>
    <w:rsid w:val="00BC114F"/>
    <w:rsid w:val="00BD140B"/>
    <w:rsid w:val="00BD49E5"/>
    <w:rsid w:val="00BD7976"/>
    <w:rsid w:val="00BE045D"/>
    <w:rsid w:val="00BE0F56"/>
    <w:rsid w:val="00BE774F"/>
    <w:rsid w:val="00BF774D"/>
    <w:rsid w:val="00C17D1A"/>
    <w:rsid w:val="00C24CA3"/>
    <w:rsid w:val="00C263AD"/>
    <w:rsid w:val="00C32FCF"/>
    <w:rsid w:val="00C35A6D"/>
    <w:rsid w:val="00C35FE9"/>
    <w:rsid w:val="00C369D1"/>
    <w:rsid w:val="00C4071B"/>
    <w:rsid w:val="00C506D4"/>
    <w:rsid w:val="00C5407F"/>
    <w:rsid w:val="00C6443C"/>
    <w:rsid w:val="00C7415D"/>
    <w:rsid w:val="00C77D45"/>
    <w:rsid w:val="00C77E05"/>
    <w:rsid w:val="00C867FB"/>
    <w:rsid w:val="00C86FC8"/>
    <w:rsid w:val="00C959F6"/>
    <w:rsid w:val="00CA4496"/>
    <w:rsid w:val="00CB125A"/>
    <w:rsid w:val="00CB19D5"/>
    <w:rsid w:val="00CB4735"/>
    <w:rsid w:val="00CB5BE1"/>
    <w:rsid w:val="00CB66A3"/>
    <w:rsid w:val="00CB76A7"/>
    <w:rsid w:val="00CC052D"/>
    <w:rsid w:val="00CC5D75"/>
    <w:rsid w:val="00CC7736"/>
    <w:rsid w:val="00CD40E7"/>
    <w:rsid w:val="00CD46BE"/>
    <w:rsid w:val="00CD574B"/>
    <w:rsid w:val="00CE28C5"/>
    <w:rsid w:val="00CE471F"/>
    <w:rsid w:val="00CE7581"/>
    <w:rsid w:val="00CF1EB6"/>
    <w:rsid w:val="00CF25DE"/>
    <w:rsid w:val="00CF54BF"/>
    <w:rsid w:val="00D0107D"/>
    <w:rsid w:val="00D039DF"/>
    <w:rsid w:val="00D06D38"/>
    <w:rsid w:val="00D114B5"/>
    <w:rsid w:val="00D17D68"/>
    <w:rsid w:val="00D27B53"/>
    <w:rsid w:val="00D3370E"/>
    <w:rsid w:val="00D3787F"/>
    <w:rsid w:val="00D3798E"/>
    <w:rsid w:val="00D41896"/>
    <w:rsid w:val="00D437C9"/>
    <w:rsid w:val="00D44267"/>
    <w:rsid w:val="00D4679A"/>
    <w:rsid w:val="00D4734B"/>
    <w:rsid w:val="00D533BE"/>
    <w:rsid w:val="00D55456"/>
    <w:rsid w:val="00D55938"/>
    <w:rsid w:val="00D5670D"/>
    <w:rsid w:val="00D56CED"/>
    <w:rsid w:val="00D56D76"/>
    <w:rsid w:val="00D573C3"/>
    <w:rsid w:val="00D60BD1"/>
    <w:rsid w:val="00D61426"/>
    <w:rsid w:val="00D6496C"/>
    <w:rsid w:val="00D64F00"/>
    <w:rsid w:val="00D84D6C"/>
    <w:rsid w:val="00DA2923"/>
    <w:rsid w:val="00DA32A1"/>
    <w:rsid w:val="00DA44D3"/>
    <w:rsid w:val="00DA53CE"/>
    <w:rsid w:val="00DA7FEA"/>
    <w:rsid w:val="00DB3A3B"/>
    <w:rsid w:val="00DB4E4C"/>
    <w:rsid w:val="00DB7D02"/>
    <w:rsid w:val="00DC105C"/>
    <w:rsid w:val="00DC4CC9"/>
    <w:rsid w:val="00DC7BE6"/>
    <w:rsid w:val="00DD00EB"/>
    <w:rsid w:val="00DD050D"/>
    <w:rsid w:val="00DD1D75"/>
    <w:rsid w:val="00DD2318"/>
    <w:rsid w:val="00DD3B21"/>
    <w:rsid w:val="00DE0B9B"/>
    <w:rsid w:val="00DE3A90"/>
    <w:rsid w:val="00DE6AF8"/>
    <w:rsid w:val="00DF0DBA"/>
    <w:rsid w:val="00DF0DD6"/>
    <w:rsid w:val="00DF25D3"/>
    <w:rsid w:val="00DF3557"/>
    <w:rsid w:val="00DF62ED"/>
    <w:rsid w:val="00E0146D"/>
    <w:rsid w:val="00E01BF4"/>
    <w:rsid w:val="00E07F41"/>
    <w:rsid w:val="00E108CD"/>
    <w:rsid w:val="00E15534"/>
    <w:rsid w:val="00E15CDD"/>
    <w:rsid w:val="00E20F3C"/>
    <w:rsid w:val="00E21A6B"/>
    <w:rsid w:val="00E23019"/>
    <w:rsid w:val="00E24437"/>
    <w:rsid w:val="00E245EC"/>
    <w:rsid w:val="00E35F75"/>
    <w:rsid w:val="00E4083D"/>
    <w:rsid w:val="00E4413E"/>
    <w:rsid w:val="00E44287"/>
    <w:rsid w:val="00E53458"/>
    <w:rsid w:val="00E54894"/>
    <w:rsid w:val="00E54BBC"/>
    <w:rsid w:val="00E569DC"/>
    <w:rsid w:val="00E56C90"/>
    <w:rsid w:val="00E70ED4"/>
    <w:rsid w:val="00E712A3"/>
    <w:rsid w:val="00E72057"/>
    <w:rsid w:val="00E723F8"/>
    <w:rsid w:val="00E729EE"/>
    <w:rsid w:val="00E72DC9"/>
    <w:rsid w:val="00E7777B"/>
    <w:rsid w:val="00E83035"/>
    <w:rsid w:val="00E93950"/>
    <w:rsid w:val="00E93B33"/>
    <w:rsid w:val="00EA0DD3"/>
    <w:rsid w:val="00EA2AC5"/>
    <w:rsid w:val="00EA6756"/>
    <w:rsid w:val="00EB0620"/>
    <w:rsid w:val="00EB5596"/>
    <w:rsid w:val="00EB6388"/>
    <w:rsid w:val="00EB6672"/>
    <w:rsid w:val="00EC07E1"/>
    <w:rsid w:val="00EC1B1F"/>
    <w:rsid w:val="00EC1D5D"/>
    <w:rsid w:val="00EC28CC"/>
    <w:rsid w:val="00EC3124"/>
    <w:rsid w:val="00EC3C2D"/>
    <w:rsid w:val="00ED3DA1"/>
    <w:rsid w:val="00ED6AE5"/>
    <w:rsid w:val="00EE495C"/>
    <w:rsid w:val="00EE54EF"/>
    <w:rsid w:val="00EE6428"/>
    <w:rsid w:val="00EF0AA5"/>
    <w:rsid w:val="00EF3A29"/>
    <w:rsid w:val="00EF4F93"/>
    <w:rsid w:val="00EF7AB4"/>
    <w:rsid w:val="00F00B3C"/>
    <w:rsid w:val="00F027C2"/>
    <w:rsid w:val="00F0306A"/>
    <w:rsid w:val="00F11734"/>
    <w:rsid w:val="00F13ABD"/>
    <w:rsid w:val="00F17818"/>
    <w:rsid w:val="00F218CA"/>
    <w:rsid w:val="00F33912"/>
    <w:rsid w:val="00F33C2E"/>
    <w:rsid w:val="00F33EBA"/>
    <w:rsid w:val="00F366C8"/>
    <w:rsid w:val="00F424C5"/>
    <w:rsid w:val="00F47630"/>
    <w:rsid w:val="00F508A0"/>
    <w:rsid w:val="00F52F65"/>
    <w:rsid w:val="00F552EB"/>
    <w:rsid w:val="00F56D83"/>
    <w:rsid w:val="00F57085"/>
    <w:rsid w:val="00F60892"/>
    <w:rsid w:val="00F62B8D"/>
    <w:rsid w:val="00F63B7F"/>
    <w:rsid w:val="00F672AB"/>
    <w:rsid w:val="00F67E00"/>
    <w:rsid w:val="00F709B7"/>
    <w:rsid w:val="00F71B6C"/>
    <w:rsid w:val="00F736F4"/>
    <w:rsid w:val="00F73821"/>
    <w:rsid w:val="00F771D7"/>
    <w:rsid w:val="00F77FE3"/>
    <w:rsid w:val="00F82D4B"/>
    <w:rsid w:val="00F83466"/>
    <w:rsid w:val="00F83986"/>
    <w:rsid w:val="00F83CE2"/>
    <w:rsid w:val="00F9052C"/>
    <w:rsid w:val="00F91E6C"/>
    <w:rsid w:val="00F93C88"/>
    <w:rsid w:val="00F945F8"/>
    <w:rsid w:val="00F97458"/>
    <w:rsid w:val="00FA173D"/>
    <w:rsid w:val="00FA4499"/>
    <w:rsid w:val="00FB1E49"/>
    <w:rsid w:val="00FB415B"/>
    <w:rsid w:val="00FB4C48"/>
    <w:rsid w:val="00FB69F8"/>
    <w:rsid w:val="00FB6CF7"/>
    <w:rsid w:val="00FB783A"/>
    <w:rsid w:val="00FB7B36"/>
    <w:rsid w:val="00FC1090"/>
    <w:rsid w:val="00FC1998"/>
    <w:rsid w:val="00FC1CC4"/>
    <w:rsid w:val="00FC36E7"/>
    <w:rsid w:val="00FC58F8"/>
    <w:rsid w:val="00FD00B0"/>
    <w:rsid w:val="00FD1ABE"/>
    <w:rsid w:val="00FD5202"/>
    <w:rsid w:val="00FE2331"/>
    <w:rsid w:val="00FE7A1D"/>
    <w:rsid w:val="00FF3194"/>
    <w:rsid w:val="00FF3D69"/>
    <w:rsid w:val="00FF42B6"/>
    <w:rsid w:val="00FF52F9"/>
    <w:rsid w:val="00FF65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B0A"/>
  </w:style>
  <w:style w:type="paragraph" w:styleId="Heading1">
    <w:name w:val="heading 1"/>
    <w:basedOn w:val="Normal"/>
    <w:next w:val="Normal"/>
    <w:qFormat/>
    <w:rsid w:val="00206B0A"/>
    <w:pPr>
      <w:keepNext/>
      <w:outlineLvl w:val="0"/>
    </w:pPr>
    <w:rPr>
      <w:u w:val="single"/>
    </w:rPr>
  </w:style>
  <w:style w:type="paragraph" w:styleId="Heading2">
    <w:name w:val="heading 2"/>
    <w:basedOn w:val="Normal"/>
    <w:next w:val="Normal"/>
    <w:qFormat/>
    <w:rsid w:val="00206B0A"/>
    <w:pPr>
      <w:keepNext/>
      <w:tabs>
        <w:tab w:val="left" w:pos="360"/>
      </w:tabs>
      <w:outlineLvl w:val="1"/>
    </w:pPr>
    <w:rPr>
      <w:b/>
    </w:rPr>
  </w:style>
  <w:style w:type="paragraph" w:styleId="Heading3">
    <w:name w:val="heading 3"/>
    <w:basedOn w:val="Normal"/>
    <w:next w:val="Normal"/>
    <w:qFormat/>
    <w:rsid w:val="00206B0A"/>
    <w:pPr>
      <w:keepNext/>
      <w:ind w:left="180" w:hanging="18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06B0A"/>
    <w:pPr>
      <w:tabs>
        <w:tab w:val="left" w:pos="360"/>
      </w:tabs>
      <w:ind w:left="360"/>
    </w:pPr>
  </w:style>
  <w:style w:type="paragraph" w:styleId="BodyTextIndent2">
    <w:name w:val="Body Text Indent 2"/>
    <w:basedOn w:val="Normal"/>
    <w:rsid w:val="00206B0A"/>
    <w:pPr>
      <w:tabs>
        <w:tab w:val="left" w:pos="360"/>
      </w:tabs>
      <w:ind w:left="360"/>
      <w:jc w:val="both"/>
    </w:pPr>
  </w:style>
  <w:style w:type="paragraph" w:styleId="BodyTextIndent3">
    <w:name w:val="Body Text Indent 3"/>
    <w:basedOn w:val="Normal"/>
    <w:rsid w:val="00206B0A"/>
    <w:pPr>
      <w:tabs>
        <w:tab w:val="left" w:pos="360"/>
      </w:tabs>
      <w:ind w:left="720"/>
      <w:jc w:val="both"/>
    </w:pPr>
  </w:style>
  <w:style w:type="character" w:customStyle="1" w:styleId="TABLE">
    <w:name w:val="TABLE"/>
    <w:basedOn w:val="DefaultParagraphFont"/>
    <w:rsid w:val="00206B0A"/>
    <w:rPr>
      <w:rFonts w:ascii="Times New Roman" w:hAnsi="Times New Roman"/>
      <w:snapToGrid/>
      <w:spacing w:val="0"/>
      <w:kern w:val="0"/>
      <w:lang w:val="en-US"/>
    </w:rPr>
  </w:style>
  <w:style w:type="paragraph" w:styleId="BodyText">
    <w:name w:val="Body Text"/>
    <w:basedOn w:val="Normal"/>
    <w:rsid w:val="00206B0A"/>
    <w:pPr>
      <w:spacing w:after="120"/>
    </w:pPr>
  </w:style>
  <w:style w:type="paragraph" w:customStyle="1" w:styleId="SECTION">
    <w:name w:val="SECTION"/>
    <w:rsid w:val="00206B0A"/>
    <w:pPr>
      <w:widowControl w:val="0"/>
      <w:tabs>
        <w:tab w:val="left" w:pos="-720"/>
      </w:tabs>
      <w:suppressAutoHyphens/>
    </w:pPr>
    <w:rPr>
      <w:rFonts w:ascii="CG Times" w:hAnsi="CG Times"/>
      <w:b/>
      <w:snapToGrid w:val="0"/>
      <w:sz w:val="36"/>
    </w:rPr>
  </w:style>
  <w:style w:type="paragraph" w:customStyle="1" w:styleId="indentone">
    <w:name w:val="indent one"/>
    <w:basedOn w:val="Normal"/>
    <w:rsid w:val="00206B0A"/>
    <w:pPr>
      <w:widowControl w:val="0"/>
      <w:overflowPunct w:val="0"/>
      <w:autoSpaceDE w:val="0"/>
      <w:autoSpaceDN w:val="0"/>
      <w:adjustRightInd w:val="0"/>
      <w:ind w:left="560" w:right="-20"/>
      <w:jc w:val="both"/>
      <w:textAlignment w:val="baseline"/>
    </w:pPr>
    <w:rPr>
      <w:rFonts w:ascii="Times" w:hAnsi="Times"/>
    </w:rPr>
  </w:style>
  <w:style w:type="table" w:styleId="TableGrid">
    <w:name w:val="Table Grid"/>
    <w:basedOn w:val="TableNormal"/>
    <w:rsid w:val="00E53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80CA5"/>
    <w:pPr>
      <w:tabs>
        <w:tab w:val="center" w:pos="4320"/>
        <w:tab w:val="right" w:pos="8640"/>
      </w:tabs>
    </w:pPr>
  </w:style>
  <w:style w:type="paragraph" w:styleId="Footer">
    <w:name w:val="footer"/>
    <w:basedOn w:val="Normal"/>
    <w:rsid w:val="00680CA5"/>
    <w:pPr>
      <w:tabs>
        <w:tab w:val="center" w:pos="4320"/>
        <w:tab w:val="right" w:pos="8640"/>
      </w:tabs>
    </w:pPr>
  </w:style>
  <w:style w:type="character" w:styleId="PageNumber">
    <w:name w:val="page number"/>
    <w:basedOn w:val="DefaultParagraphFont"/>
    <w:rsid w:val="00680CA5"/>
  </w:style>
  <w:style w:type="paragraph" w:styleId="BalloonText">
    <w:name w:val="Balloon Text"/>
    <w:basedOn w:val="Normal"/>
    <w:link w:val="BalloonTextChar"/>
    <w:rsid w:val="00126698"/>
    <w:rPr>
      <w:rFonts w:ascii="Tahoma" w:hAnsi="Tahoma" w:cs="Tahoma"/>
      <w:sz w:val="16"/>
      <w:szCs w:val="16"/>
    </w:rPr>
  </w:style>
  <w:style w:type="character" w:customStyle="1" w:styleId="BalloonTextChar">
    <w:name w:val="Balloon Text Char"/>
    <w:basedOn w:val="DefaultParagraphFont"/>
    <w:link w:val="BalloonText"/>
    <w:rsid w:val="001266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DA91F-308F-4B88-8FCB-447C76897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5</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MENTIGA CORPORATION BERHAD</Company>
  <LinksUpToDate>false</LinksUpToDate>
  <CharactersWithSpaces>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MENTIGA CORPORATION BERHAD</dc:creator>
  <cp:keywords/>
  <cp:lastModifiedBy>user</cp:lastModifiedBy>
  <cp:revision>129</cp:revision>
  <cp:lastPrinted>2010-02-23T00:18:00Z</cp:lastPrinted>
  <dcterms:created xsi:type="dcterms:W3CDTF">2009-02-26T05:27:00Z</dcterms:created>
  <dcterms:modified xsi:type="dcterms:W3CDTF">2010-05-24T08:02:00Z</dcterms:modified>
</cp:coreProperties>
</file>